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Water law of Central Asian countries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10.12072/ncdc.nieer.db3136.2023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11738.11.ncdc.nieer.2020.1447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includes water resources laws and regulations in Central Asia, Kazakhstan, Turkmenistan, and Uzbekistan. The National Water Law of Kazakhstan This includes the Russian version of the Water Law published in 2003, the Chinese translation of the "Provisions on Cross border Water" in the 2003 version, the Chinese translation of the 2009 revised version, and some excerpts from the 2009 revised version. National Water Law of Turkmenistan This includes the 2004 Russian version of the Water Law and the corresponding Chinese translation data of the catalog. The "National Water Law of Uzbekistan" - the English version published in 2001, due to the internal economic development of the country, there are few categories of economic indicators and incomplete data statistics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National Water Law of Kazakhstan (2003 and 2009 Revision) 2. The English version of the state water law of Uzbekistan in 2001, 3. National Water Law of Turkmenistan in 2004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First of all, the original documents are digitized, scanned, recognized, and converted into data format. Then, professional Russian translation and proofreading are carried out, and then PDF data documents are formed through document typesetting.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produced by the document information center of Xinjiang Institute of Ecology and Geography, Chinese Academy of Sciences. It is used for data format transformation and professional translation of the original documents, ensuring the authenticity and integrity of the original documents.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time:2001/01/01-2004/12/31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place:Central Asia, Kazakhstan, Turkmenistan, Uzbekistan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format:documentation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Theme:Turkmenistan, Central Asia, Uzbekistan, laws and regulations, Kazakhstan, Water resource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 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Central Asia,  Uzbekistan,  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56.48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Miao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Jin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 Wu Miao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Miao. Water law of Central Asian countries. National Cryosphere Desert Data Center(http://www.ncdc.ac.cn), 2020. https://cstr.cn/CSTR:11738.11.ncdc.nieer.2020.1447.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