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考虑预报信息的金沙江下游与三峡水库动态控制域上下限数据集（2020年）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Sets for the Upper and Lower Bounds of the Dynamic Control Zone of the Lower Jinsha River and the Three Gorges Reservoir, Taking Forecast Information into Account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10.12072/ncdc.reservoir.db7536.2026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11738.11.ncdc.reservoir.db7536.2026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  本数据集面向金沙江下游与三峡水库动态控制域上下限研究，给出了利用预报信息后金下四库及三峡水库动态控制域上下限。   数据文件为Excel工作簿，主要包括：   1）动态控制域上限：利用3~7天预见期预报信息金下四库和三峡水库汛期运行水位动态控制域上限，单位为亿m3。   2）动态控制域下限：以分期运行水位为水库汛期运行水位动态控制域下限，单位为m。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  考虑预报信息和蓄滞洪区补偿后的结果。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  数据加工流程如下：   1）下限为分期运行水位。   2）上限为不增加额外防洪风险条件下的上限。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金沙江下游,三峡水库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三峡水库, 金下四库, 汛期运行水位, 动态控制域上下限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三峡水库,  乌东德,  白鹤滩,  溪洛渡,  向家坝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王浅宁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王浅宁. 考虑预报信息的金沙江下游与三峡水库动态控制域上下限数据集（2020年）. 国家冰川冻土沙漠科学数据中心(http://www.ncdc.ac.cn), 2026. https://cstr.cn/CSTR:11738.11.ncdc.reservoir.db7536.2026.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