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山西省太原市碳钢渣吸附酸性老窑水污染物的实验数据（2018年10月）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of carbon steel slag adsorbing acid old kiln water pollutants in Taiyuan, Shanxi Province (October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10.12072/ncdc.UTCMW.db2180.2022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11738.11.ncdc.UTCMW.db2180.2022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取碳钢渣作为吸附材料，通过静态吸附实验，研究了碳钢渣对酸性老窑水中污染物的吸附影响，分析其净化老窑水的净化效率及最佳固液比。基于吸附动力学模型，明确吸附材料对污染物的吸附过程、吸附速率及达到吸附平衡的时间。数据集共包含216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国家卫生部颁布的《生活饮用水标准检验方法无机非金属指标》（GB/T5750.5-2006），采用铬酸钡分光光度法（热法）测定SO42-的浓度。根据国家卫生部颁布的《生活饮用水标准检验方法无机金属指标》（GB/T5750.6-2006），采用原子吸收分光光度计对溶液中金属离子（Fe、Mn、Zn）进行测定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2018/10/01-2018/10/31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静态吸附, 吸附动力学模型, 吸附速率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张永波. 山西省太原市碳钢渣吸附酸性老窑水污染物的实验数据（2018年10月）. 国家冰川冻土沙漠科学数据中心(http://www.ncdc.ac.cn), 2022. https://cstr.cn/CSTR:11738.11.ncdc.UTCMW.db2180.2022.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