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塔里木河干流未来各季节可增加径流数据集（2021-2080年）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sets can be added in the main stream of Tarim River in future seasons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10.12072/ncdc.XBSAQ.db2229.2022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11738.11.ncdc.XBSAQ.db2229.2022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  （3）基于CMIP5比湿及风速数据，将空间分辨率统一为0.75°×0.75°，计算得到水汽通量散度矩阵，识别出空中水资源富集区。   （4）考虑人工增雨措施的可增加降雨效率，即可得到空中水资源富集区实施增雨作业理论可增加降雨量矩阵。   （5）基于CMIP5径流数据，将空间分辨率统一为0.75°×0.75°，计算各个格点的径流转化系数，即可得到理论可增加径流量矩阵。   （6）最后进行季平均及年平均，得到区域内各级季节数据。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塔里木河干流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塔里木河干流, 可增加径流,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塔里木河干流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塔里木河干流未来各季节可增加径流数据集（2021-2080年）. 国家冰川冻土沙漠科学数据中心(http://www.ncdc.ac.cn), 2022. https://cstr.cn/CSTR:11738.11.ncdc.XBSAQ.db2229.2022.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