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黑河生态水文遥感试验：黑河流域1km/5天合成植被指数（NDVI/EVI）数据集（2015年）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vegetation index (NDVI / EVI)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2015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   三级数据为受薄云污染的观测，不用于计算。在黑河中游农田、森林区域的验证结果表明，联合多时相、多角度观测数据的NDVI/EVI合成结果与地面实测数据具有较好的一致性（RMSE=0.105）。与MODIS MOD13A2产品的时间序列对比分析，充分显示了时间分辨率从16天提高到5天时，稳定的高精度的植被指数对植被生长细节的细致描述。   总之，黑河流域1km/5day合成植被指数（NDVI/EVI）数据集综合利用多时相、多角度观测数据以提高参数产品的估算精度、时间分辨率等，更好的服务于遥感数据产品的应用。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2015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李静,仲波. 黑河生态水文遥感试验：黑河流域1km/5天合成植被指数（NDVI/EVI）数据集（2015年）. 国家冰川冻土沙漠科学数据中心(http://www.ncdc.ac.cn), 2021. https://cstr.cn/CSTR:11738.11.ncdc.NIEER.2021.42.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