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land use types in the lower reaches of the Yangtze River (1985-2020)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10.12072/ncdc.nhri.db6766.2025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11738.11.NCDC.NHRI.DB6766.2025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Landsat satellite remote sensing data and 1km resolution remote sensing monitoring data of China's land use status, this study decodes and analyzes the geographic entity information of the subsurface of the lower reaches of the Yangtze River, identifies the characteristics of land use type changes in the lower reaches of the Yangtze River from 1985 to 2020, analyzes the land use structure and its changes in the lower reaches of the Yangtze River It also analyzes the land use structure and its changes in the lower reaches of the Yangtze River, and lays the foundation for analyzing the changes of disaster-bearing bodies in the lower reaches of the Yangtze River.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land use data come from the Resource and Environmental Science Data Platform of the Chinese Academy of Sciences (https://www.resdc.cn/), and the Land Use Remote Sensing Monitoring Dataset (LURMDS) is a national scale multi-period land use/land cover database of China, which is constructed by manual visual interpretation, using Landsat remote sensing imagery as the main source of information. Thematic database.   The data include the late 1970s (1980), the late 1980s (1990), the mid-1990s (1995), the late 1990s (2000), 2005, 2008, 2010, 2013, and 2015, 2018, 2020, and 2023. The data are classified using a two-tier classification system, with the first tier divided into six categories: cropland, forest land, grassland, watersheds, construction land and unutilized land, and the second tier further divided into 25 types based on the first tier types.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Using the ArcGIS raster reclassification tool, the main cover types were classified into several categories, which were buildings, forests, water bodies, paddy fields, croplands, grasslands, etc.;  (2) Based on ArcGIS “Extract by Mask” function, input the vector surface file and land use raster file of the study area to get the land use distribution map of the studied flood storage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lower reaches of the Yangtze River, arable land is the first major land use type, followed by forest land or water, and grassland is the least. With the development of urbanization, the expansion of construction land is very significant.   On the one hand, it shows the characteristic of expanding outward with Shanghai, Suzhou, Wuxi, Changzhou, Hangzhou, Jiaxing, Nanjing and Hefei as the center; on the other hand, the construction land of the scattered small and medium-sized towns is also increasing, so that a typical urban continuous zone is formed along the line from Nanjing to Shanghai. The main characteristics of the changes in the land-use structure of the Lower Yangtze River region in different periods are the expansion of construction land and the reduction of the arable land, and the two changes are highly consistent. In the past 40 years, the area of arable land has decreased by 12040km.2，The area of land used for construction has increased by 11,835 km.2。   Forest land shows an increasing trend from 1985-1995 and a decreasing trend from 1995-2020, with insignificant changes; waters and grasslands show an overall increasing trend.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place:Lower reaches of the Yangtze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format:*.adf,*.txt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lower reaches of the Yangtze River, land cover, remote sensing images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1990 1995 2000 2005 2010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downstream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contributors:SHANG Shouwei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author:SHANG Shouwei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manager:SHANG Shouwei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SHANG Shouwei. Dataset of land use types in the lower reaches of the Yangtze River (1985-2020). National Cryosphere Desert Data Center(http://www.ncdc.ac.cn), 2025. https://cstr.cn/CSTR:11738.11.NCDC.NHRI.DB6766.2025.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