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长江下游地区土地利用类型数据集（1985-2020年）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land use types in the lower reaches of the Yangtze River (1985-2020)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10.12072/ncdc.nhri.db6766.2025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11738.11.NCDC.NHRI.DB6766.2025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基于Landsat卫星遥感数据以及1km分辨率的中国土地利用现状遥感监测数据，对长江下游地区下垫面地理实体信息进行解译和分析，识别了1985-2020年长江下游地区土地利用类型变化特征，分析了长江下游地区土地利用结构及其变化，为分析长江下游地区承灾体变化奠定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  土地利用数据来自中国科学院资源环境科学数据平台（https://www.resdc.cn/）， 土地利用遥感监测数据集是以美国陆地卫星Landsat遥感影像作为主要信息源，通过人工目视解译构建的中国国家尺度多时期土地利用/土地覆盖专题数据库。   数据包括20世纪70年代末期(1980年)、80年代末期(1990年)、90年代中期（1995年）、90年代末期（2000年）、2005年、2008年、2010年、2013年和2015年、2018年、2020年、2023年。数据采用二级分类系统，一级分为耕地、林地、草地、水域、建设用地和未利用土地6类，二级在一级类型基础上进一步分为25个类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  （1）运用ArcGIS栅格重分类工具，将主要覆盖类型分为多个类别，分别为建筑、林地、水体、水田、耕地、草地等；   （2）基于ArcGIS“按掩膜提取”功能，输入研究区矢量面文件和土地利用栅格文件，得到所研究蓄滞洪区土地利用分布图。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  数据研究整理长江下游地区，耕地为第一大类土地利用类型，其次是林地或水域，最少是草地。随城镇化进程的发展，建设用地的扩展态势十分显著。   一方面呈现出以上海、苏州、无锡、常州、杭州、嘉兴、南京、合肥等为中心向外扩张的特征；另一方面星罗棋布的中小城镇建设用地也在增大，使得南京至上海沿线形成典型的都市连绵地带，长江下游地区不同时期土地利用结构变化的主要特征表现为建设用地的扩张和耕地面积的减少，且两者的变化幅度具有较高的一致性，在过去近40年间，耕地面积减少了12040km2，建设用地面积增加了11835 km2。   林地在1985-1995年呈现增加趋势，在1995-2020年呈现减少趋势，变化并不明显；水域和草地整体呈现出增加趋势。</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长江流域下游地区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*.adf,*.txt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长江下游, 土地覆盖, 遥感影像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1985 1990 1995 2000 2005 2010 2015 2020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商守卫</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商守卫. 长江下游地区土地利用类型数据集（1985-2020年）. 国家冰川冻土沙漠科学数据中心(http://www.ncdc.ac.cn), 2025. https://cstr.cn/CSTR:11738.11.NCDC.NHRI.DB6766.2025.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