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2024年两当县旅游资源单体核密度分析数据集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Liangdang County Tourism Resource Individual Kernel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10.12072/ncdc.tourism.db7275.2026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11738.11.NCDC.TOURISM.DB7275.2026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陇南市两当县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两当县全域，时间上对应普查时点的资源现状。密度值依据五级区间进行分级命名与可视化，空间分辨率由分析设定的栅格大小决定，并叠加行政边界作为地理参考。  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  来源于甘肃省陇南市两当县文体广电和旅游局联合多部门及专业技术团队，通过系统性的实地普查、档案整理与空间定位工作获取的旅游资源单体点位数据。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 10.8版本软件：输入原始旅游资源点位矢量数据（点要素图层，包含资源位置坐标）；使用ArcGIS空间分析工具箱中的“核密度估计”（Kernel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Estimation）工具，将离散点位转换为连续密度栅格表面；密度值结果按五级区间进行分级渲染（自然断裂法）；叠加两当县行政边界矢量图层作为地理参考，最终输出为GeoTIFF格式；所用算法：核密度估计（Kernel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甘肃省陇南市两当县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陇南市,  两当县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梁珍珍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2025A-243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旅游网红城市形成机制及长效路径研究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梁珍珍. 2024年两当县旅游资源单体核密度分析数据集. 国家冰川冻土沙漠科学数据中心(http://www.ncdc.ac.cn), 2026. https://cstr.cn/CSTR:11738.11.NCDC.TOURISM.DB7275.2026.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