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2024年两当县旅游资源单体核密度分析数据集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Liangdang County Tourism Resource Individual Kernel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陇南市两当县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两当县全域，时间上对应普查时点的资源现状。密度值依据五级区间进行分级命名与可视化，空间分辨率由分析设定的栅格大小决定，并叠加行政边界作为地理参考。  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  来源于甘肃省陇南市两当县文体广电和旅游局联合多部门及专业技术团队，通过系统性的实地普查、档案整理与空间定位工作获取的旅游资源单体点位数据。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 10.8版本软件：输入原始旅游资源点位矢量数据（点要素图层，包含资源位置坐标）；使用ArcGIS空间分析工具箱中的“核密度估计”（Kernel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Estimation）工具，将离散点位转换为连续密度栅格表面；密度值结果按五级区间进行分级渲染（自然断裂法）；叠加两当县行政边界矢量图层作为地理参考，最终输出为GeoTIFF格式；所用算法：核密度估计（Kernel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甘肃省陇南市两当县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陇南市,  两当县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梁珍珍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2025A-243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旅游网红城市形成机制及长效路径研究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梁珍珍. 2024年两当县旅游资源单体核密度分析数据集. 国家冰川冻土沙漠科学数据中心(http://www.ncdc.ac.cn), 2026. https://cstr.cn/CSTR:11738.11.NCDC.TOURISM.DB7275.2026.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