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祁连山地区10m分辨率土壤有机碳密度（0~100cm）数据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density (0-100cm) data at 10m resolution in the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祁连山地区10m分辨率土壤有机碳密度（0~100cm）数据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本数据集的制作共使用祁连山及其周边区域973个土壤采样点实测数据，数据主要来源如下：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DSM）方法和基于瓦片结构的运算，模拟了祁连山地区0~100 cm土层10m分辨率土壤有机碳密度空间分布。 预测方法主要是基于机器学习中的极端梯度提升算法（XGBoost，eXtreme Gradient Boosting），环境协变量数据包括：Sentinel-2多光谱影像、Sentinel-1雷达影像、气温、降水、辐射、地形、植被指数、位置等栅格数据。 在R语言中构建数字土壤制图框架，为了减少内存占用量和提高计算速度，将整个祁连山地区划分为33个150km×150km的子区域（region），每个子区域内构建基于瓦片（瓦片大小：15km×15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经30次10折交叉验证表明，模型的RMSE和R2分别为6.26 kg/m2和 0.75。最终数据产品共分为33个子区域（region），mean和sd分别表示30次重复建模的均值和标准差，单位为kg/m2，表示0~100cm土层内单位面积上土壤有机碳的质量，文件名中的经纬度表示该子区域的中心位置，大小为45.40GB；另有整个祁连山地区合并版土壤有机碳密度均值（mean）和标准差（sd），已完成金字塔构建，大小72.40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祁连山及其周边地区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118.0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祁连山地区, 10m, 土壤有机碳密度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2021ZDKT0004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祁连山山水林田湖草沙系统治理成效评价研究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祁连山地区10m分辨率土壤有机碳密度（0~100cm）数据. 国家冰川冻土沙漠科学数据中心(http://www.ncdc.ac.cn), 2023. https://cstr.cn/CSTR:11738.11.ncdc.qlsst.db2697.2023.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37(11): 1101-1114.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白光祖,李宗省等. 加快构建西北地区生态保护新格局[J]. 中国科学院院刊, 2022, 37(10): 1457-1470.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LiYongge，LiuWei，FengQi，etal. Effects of land use and land cover change on soil organic carbon storage in the Hexi Regions, Northwest China[J]. Journal of Environmental Management, 2022, 312: 114911.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ZhuMeng，FengQi，QinYanyan，etal. The role of topography in shaping the spatial patterns of soil organic carbon[J]. CATENA, 2019, 176: 296-305.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