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黑河生态水文遥感试验：水文气象观测网数据集（大满超级站涡动相关仪-2016）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(eddy covariance system of Daman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  该数据集包含了2016年1月1日至2016年12月31日的黑河水文气象观测网中游大满超级站涡动相关仪观测数据。站点位于甘肃省张掖市大满灌区内，下垫面是玉米。观测点的经纬度是100.37223E,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4）剔除夜间弱湍流的观测数据（u*小于0.1m/s）。观测数据的平均周期为30分钟，一天48个数据，缺失数据标记为-6999。3月3日-23日由于停电，4月17日-25日涡动系统的Li7500A进行标定，10月10日-24日和12月19日-31日采集器的问题，导致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三级（质量标识0:（Δst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2016/01/15-2017/01/14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潜热通量, 辐射, 二氧化碳通量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黑河生态水文遥感试验：水文气象观测网数据集（大满超级站涡动相关仪-2016）.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