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黑河下游荒漠河岸林植物树干液流数据集（2012-2013年）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stem sap flow of desert riparian forest in the lower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树干液流是测定单株植物蒸腾量的有效工具，本项测定了在黑河下游胡杨树干液流数据，包含两个表2012年胡杨液流和2013年胡杨液流。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2012-2013年生长季，安装位置为树干胸径（1.3m）处正北方和侧根（地下50cm深度，距离树干30cm。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观测仪器为HRM（ICT，澳大利亚），频率为0.5小时.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树枝干流, 液流通量, 液流速率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额济纳,  黑河下游,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104.33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司建华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司建华. 黑河下游荒漠河岸林植物树干液流数据集（2012-2013年）. 国家冰川冻土沙漠科学数据中心(http://www.ncdc.ac.cn), 2021. https://cstr.cn/CSTR:11738.11.ncdc.nieer.2020.1649.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