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type data of 30 meters in Urumqi River basin (2015,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11738.11.ncdc.NIEER.db2450.2022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GLC_ The FCS30-2015 global fine surface coverage product combines high-precision satellite DEM data, global thematic auxiliary datasets, and prior knowledge datasets, utilizing data formed by cutting the boundaries of the Urumqi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GLC_ The FCS30-2015 global fine surface coverage product combines high-precision satellite DEM data, global thematic auxiliary datasets, and prior knowledge datasets, utilizing data formed by cutting the boundaries of the Urumqi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GLC_ The FCS30-2015 global fine surface coverage product combines high-precision satellite DEM data, global thematic auxiliary datasets, and prior knowledge datasets, utilizing data formed by cutting the boundaries of the Urumqi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based on GLC_ The FCS30-2015 global fine surface coverage product combines high-precision satellite DEM data, global thematic auxiliary datasets, and prior knowledge datasets, utilizing data formed by cutting the boundaries of the Urumqi River Basin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size:464.5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coverage, 30m, Urumqi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Land type data of 30 meters in Urumqi River basin (2015, 2020). National Cryosphere Desert Data Center(http://www.ncdc.ac.cn), 2022. https://cstr.cn/CSTR:11738.11.ncdc.NIEER.db2450.2022.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