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乌鲁木齐河流域30米土地类型数据（2015年、2020年）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 type data of 30 meters in Urumqi River basin (2015,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10.12072/ncdc.NIEER.db2450.2022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11738.11.ncdc.NIEER.db2450.2022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该数据基于GLC_FCS30-2015全球精细地表覆盖产品，结合高精度卫星DEM数据、全球专题辅助数据集以及先验知识数据集，利用乌鲁木齐河流域边界裁切形成的数据。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该数据基于GLC_FCS30-2015全球精细地表覆盖产品，结合高精度卫星DEM数据、全球专题辅助数据集以及先验知识数据集，利用乌鲁木齐河流域边界裁切形成的数据。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该数据基于GLC_FCS30-2015全球精细地表覆盖产品，结合高精度卫星DEM数据、全球专题辅助数据集以及先验知识数据集，利用乌鲁木齐河流域边界裁切形成的数据。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该数据基于GLC_FCS30-2015全球精细地表覆盖产品，结合高精度卫星DEM数据、全球专题辅助数据集以及先验知识数据集，利用乌鲁木齐河流域边界裁切形成的数据。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464.5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地表覆盖, 30米, 乌鲁木齐河流域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乌鲁木齐河流域30米土地类型数据（2015年、2020年）. 国家冰川冻土沙漠科学数据中心(http://www.ncdc.ac.cn), 2022. https://cstr.cn/CSTR:11738.11.ncdc.NIEER.db2450.2022.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