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海河流域多尺度地表通量与气象要素观测数据集：怀来站-涡动相关仪(2014年)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(Huailai station-eddy covariance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该数据集包含了2014年1月1日至2014年12月31日的10m塔涡动相关仪观测数据。站点位于河北省怀来县东花园镇，下垫面水浇地玉米。观测点的经纬度是115.7880E, 40.3491N，海拔480m。涡动相关仪的采集频率是10Hz，架高为5 m，超声朝向是正北向，超声风速仪（Gill&amp;CSAT3（2014年10月9日更换））与CO2/H2O分析仪（Li7500A）之间的距离是18 cm（10月9日后为15cm）。 涡动相关仪发布的观测数据包括：日期/时间Date/Time，风向Wdir（°），水平风速Wnd（m/s），侧向风速标准差Std_Uy（m/s），超声虚温Tv（K），水汽密度H2O（g/m3），二氧化碳浓度CO2（mg/m3），摩擦速度Ustar（m/s），奥布霍夫长度，感热通量Hs（W/m2），潜热通量LE（W/m2），二氧化碳通量Fc（mg/(m2s)），感热通量的质量标识QA_Hs，潜热通量的质量标识QA_LE。感热、潜热、二氧化碳通量的质量标识分为三级（质量标识0:（Δst &lt;30, ITC&lt;30）; 1: （Δst &lt;100, ITC&lt;100）; 其余为2）。数据时间的含义，如0:30代表0:00-0:30的平均；数据以*.xls格式存储。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发布的数据是采用Eddypro软件对原始采集的10Hz数据进行后处理得到的30分钟数据，其处理的主要步骤包括：野点值剔除，延迟时间校正，坐标旋转（二次坐标旋转），角度订正，频率响应修正，超声虚温修正和密度（WPL）修正等。同时对各通量值进行质量评价，主要是大气平稳性（Δst）和湍流相似性特征（ITC）的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处理后输出的30min通量值也进行了筛选：（1）剔除仪器出错时的数据；（2）剔除降水前后1h的数据；（3）剔除10Hz原始数据每30min内缺失率大于10%的数据；（4）剔除夜间弱湍流的观测数据（u*小于0.1m/s）。观测数据的平均周期为30分钟，一天48个数据，缺失数据标记为-6999。4月29日至5月30日由于电源转换器损坏，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感热通量, 涡动相关仪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海河流域,  怀来县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海河流域多尺度地表通量与气象要素观测数据集：怀来站-涡动相关仪(2014年). 国家冰川冻土沙漠科学数据中心(http://www.ncdc.ac.cn), 2020. https://cstr.cn/CSTR:11738.11.ncdc.Westdc.2020.431.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(4): 1095-1106.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