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channel flow measurement data set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10.12072/ncdc.NIEER.db0089.2020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contains the channel flow measurement data on May 22, 2012 (the second round of summer irrigation), June 18, 2012 (the third round of summer irrigation), July 16, 2012 (the first round of autumn irrigation) and August 8, 2012 (the second round of autumn irrigation). The original data of channel flow observation is in Excel format, including channel flow velocity, channel section area, water level and water temperature. Through the data preprocessing process, the original data are converted into channel flow and irrigation volume entering each community. See "channel flow measurement data processing document" for data processing process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According to the flow observation of the bucket canal and the coarse canal, the actual water volume entering the minimum irrigation unit (community) is obtained to provide reference data for the optimal irrigation water distribution test; Provide water volume data for vortex, biophysical parameters and other observation tests; It provides a reference for the investigation data of each canal in Yingke irrigation area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instrument: Portable flow watch, origin: Switzerland, velocity observation accuracy: 0.1m/s; Water gauge, observation accuracy: 1cm.    Observation principle: the instrument is a mechanical current meter, which calculates the fluid velocity according to the speed of water turbine. The flow velocity of 0.6 times the central water level of the channel is observed by the current meter, and the channel flow is calculated through the fluid section area calculated by the channel engineering section parameters and water level at the observation point.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time:2012/05/22-2012/08/08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place:Middle reaches of the Heihe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Theme:Irrigation volume, rivers and canals, ground synchronous observation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and middle reaches of artificial oasis experimental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contributors:Ge Yingchun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author:Ge Yingchun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manager:Ge Yingchun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Ge Yingchun. Heihe River eco hydrological remote sensing experiment: channel flow measurement data set in the middle reaches of Heihe River Basin (2012). National Cryosphere Desert Data Center(http://www.ncdc.ac.cn), 2021. https://cstr.cn/CSTR:11738.11.ncdc.nieer.2020.1600.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