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玛纳斯河流域、塔里木河典型流域水文气象、社会经济数据集（1958-2009年）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Hydrometeorological and socio-economic data sets of Manas River Basin and Tarim River Basin (1958-2009)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了2个表：水文气象数据（水资源量、蒸发量等数据）；社会经济数据（耕地，人口等数据）。数据收集时间为1958－2009年，其中有塔里木河典型流域（克里雅河流域）、玛纳斯河流域人口、土地利用、气温、降水量、蒸发量、可利用水资源量等指标。主要研究玛纳斯河流域和塔里木河典型流域的绿洲适宜规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相关统计数据来源于玛纳斯河流域管理处与塔里木河流域管理局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该数据由相关统计部门提供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严格按照统计部门提供的数据进行分析，并已经在相关学术期刊发表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玛纳斯河流域，塔里木河典型流域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水文气象, 社会经济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1958-2009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玛纳斯河流域,  塔里木河典型流域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45.97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86.52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84.70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徐海量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徐海量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徐海量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干旱区绿洲化、荒漠化的调控对策与管理模式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徐海量. 玛纳斯河流域、塔里木河典型流域水文气象、社会经济数据集（1958-2009年）. 国家冰川冻土沙漠科学数据中心(http://www.ncdc.ac.cn), 2020. https://cstr.cn/CSTR:11738.11.ncdc.973Desert.2020.115.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