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玛纳斯河流域、塔里木河典型流域水文气象、社会经济数据集（1958-2009年）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Hydrometeorological and socio-economic data sets of Manas River Basin and Tarim River Basin (1958-2009)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10.12072/ncdc.973Desert.db0001.2020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了2个表：水文气象数据（水资源量、蒸发量等数据）；社会经济数据（耕地，人口等数据）。数据收集时间为1958－2009年，其中有塔里木河典型流域（克里雅河流域）、玛纳斯河流域人口、土地利用、气温、降水量、蒸发量、可利用水资源量等指标。主要研究玛纳斯河流域和塔里木河典型流域的绿洲适宜规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相关统计数据来源于玛纳斯河流域管理处与塔里木河流域管理局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该数据由相关统计部门提供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严格按照统计部门提供的数据进行分析，并已经在相关学术期刊发表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1958/01/01-2009/12/31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玛纳斯河流域，塔里木河典型流域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水文气象, 社会经济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1958-2009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玛纳斯河流域,  塔里木河典型流域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84.70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徐海量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徐海量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徐海量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干旱区绿洲化、荒漠化的调控对策与管理模式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徐海量. 玛纳斯河流域、塔里木河典型流域水文气象、社会经济数据集（1958-2009年）. 国家冰川冻土沙漠科学数据中心(http://www.ncdc.ac.cn), 2020. https://cstr.cn/CSTR:11738.11.ncdc.973Desert.2020.115.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