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Soil texture dataset of the Heihe river basin (2011)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10.12072/ncdc.westdc.db3733.2023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11738.11.ncdc.Westdc.2020.381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adopts 1km spatial resolution and WGS-84 projection mode, and the data format is grid format. The soil texture attributes and categories represent the soil texture attributes of 0-30cm in the surface layer, which are obtained by depth weighted average. Textname in the attribute table indicates the name of soil texture type; sandrange, siltrange and clayrange respectively indicate the content range of sand, silt and clay in USDA soil triangle map; Sandage, silverage and clayage are taken from the average content of sand, silt and clay in the measured soil profile as the sand, silt and clay content of the soil type. (Note: the grain content of clay loam comes from the soil quality map of Beishida). The classification standard of soil texture is USDA system in the United States. The sand size is defined as (2-0.05mm), the silt size is defined as (0.05-0.002mm) and the clay size is defined as (&amp; lt; 0.002mm).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Existing soil quality map and soil profile in Heihe River Basin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soil texture data of Heihe River Basin (2011) is generated by Liu Chao et al. (2011) based on the famous Jenny equation of soil science, climate, biology, topography, parent material and other environmental factors. On the basis of the existing soil texture map and soil profile of Heihe River Basin, the method of knowledge mining and fuzzy logic is used to integrate the glaciers, lakes and other topics The content of the map. According to the different characteristics of six ecological divisions in Heihe River Basin, different mapping methods are used in the upper, middle and lower reaches.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 the middle and lower reaches of Heihe River Basin, Heihe River,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size:39.8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format:grid</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silt, clay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contributors:Lu lin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chao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manager:Lu lin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Lu lin. Soil texture dataset of the Heihe river basin (2011). National Cryosphere Desert Data Center(http://www.ncdc.ac.cn), 2020. https://cstr.cn/CSTR:11738.11.ncdc.Westdc.2020.381.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