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10.12072/ncdc.nieer.db6446.2024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11738.11.NCDC.NIEER.DB6446.2024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  该数据集记录了2000年额济纳行政区域土地面积、乡(镇)个数 村民委员会个数、年末总户数、乡村户数、乡村人口、乡村从业人员数、农业机械总动力、本地电话用户、国内生产总值、第一产业增加值、 第二产业增加值、地方财政预算内收入、财政支出、城乡居民储蓄存款余额、年末金融机构各项贷款余额、粮食产量、 棉花产量、油料产量、肉类总产量、规模以上工业企业数、 规模以上工业总产值(现价)、基本建设投资完成额、普通中学在校学生数、小学在校学生数、医院卫生院床位数、社会福利院数、社会福利院床位数。该数据集可为评估额济纳绿洲区社会经济发展状况提供支撑。数据集共118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  基于额济纳旗统计局2000年统计年鉴数据，利用excel进行分类、整理及统计。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额济纳绿洲社会经济数据集（2000年）. 国家冰川冻土沙漠科学数据中心(http://www.ncdc.ac.cn), 2024. https://cstr.cn/CSTR:11738.11.NCDC.NIEER.DB6446.2024.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