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黑河生态水文遥感试验：黑河流域中游核心试验区机载激光雷达原始数据集（2012年）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Airborne Lidar raw data set of the core test area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10.12072/ncdc.nieer.db3483.2023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19日，在黑河中游核心观测区域，利用运12飞机，搭载Leica公司生产的ALS70,开展了lidar航空遥感飞行试验。ALS70激光波长为1064nm，记录多次回波（1,2,3和末次）。中游地区飞行绝对航高2700米（地面最低点1412米，地面最高点1655米），平均点云密度4点/平方米。通过参数检校、点云自动分类和人工编辑等步骤，最终形成DSM和DE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ALS70激光波长为1064nm，记录多次回波（1,2,3和末次）。中游地区飞行绝对航高2700米（地面最低点1412米，地面最高点1655米），平均点云密度4点/平方米。通过参数检校、点云自动分类和人工编辑等步骤，最终形成DSM和DEM数据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  通过参数检校、点云自动分类和人工编辑等步骤，最终形成DSM和DEM数据产品。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2012/07/19-2012/07/20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黑河流域、中游人工绿洲试验区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激光雷达, 航空遥感, 飞行试验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  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肖青,闻建光. 黑河生态水文遥感试验：黑河流域中游核心试验区机载激光雷达原始数据集（2012年）. 国家冰川冻土沙漠科学数据中心(http://www.ncdc.ac.cn), 2021. https://cstr.cn/CSTR:11738.11.ncdc.NIEER.2021.26.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