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黄河流域“十三五”生态保护与建设规划数据（2015-2020年）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Planning data of ecological protection and construction in the 13th five year plan of the Yellow River Basin (2015-2020)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10.12072/ncdc.YRiver.db1939.2022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11738.11.ncdc.YRiver.db1939.2022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  本数据集收录了黄河流域“十三五”生态保护与建设规划数据。   1.数据实体命名：流域饮用水水源地保护规划数据.xlsx   2.属性说明：(1)省：流域流经个省市,本数据集中黄河流域的各省市地区为甘肃省、河南省、内蒙古自治区、宁夏回族自治区、山东省、山西省、陕西省等，还包括全国十三五生态保护与建设规划数据;(2)生态环境主要从空气质量、水环境质量、土壤环境质量、生态状况等方面进行统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  数据主要来源于黄河流域各地区政府官方网站。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  本数据集中数据主要来源于流域各地区政府官方网站，摘录整理黄河流域内的数据。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十三五, 生态保护, 建设规划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河南省,  内蒙古自治区,  宁夏回族自治区,  山东省,  山西省,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黄河流域“十三五”生态保护与建设规划数据（2015-2020年）. 国家冰川冻土沙漠科学数据中心(http://www.ncdc.ac.cn), 2022. https://cstr.cn/CSTR:11738.11.ncdc.YRiver.db1939.2022.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