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高亚洲冰湖编目数据集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Glacial lake inventory of high-mountain Asia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10.12072/casnw.064.2019.db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11738.11.ncdc.nieer.2020.1507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冰川</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本数据集基于冰川编目数据和668景LandsatTM/ETM+/OLI影像，结合ArcGIS和ENVI软件、NDWI和GoogleEarth影像，通过人工目视解译的方法提提取距离冰川边界向外10km缓冲区内的冰湖边界。 在1990和2018年两期冰湖数据集中，高亚洲地区共有27,205和30,121个冰湖，面积区间为0.0054-6.46km2，总面积分别为1806.47±2.11和2080.12±2.28km2。本次冰湖编目数据集为高亚洲地区水资源评价、冰湖溃决洪水评价、冰川水文研究提供了基础数据。 数据集命名High_Asia_glacial_lake_1990.Shp High_Asia_glacial_lake_2018.shp 属性信息：GLAKE_ID:冰湖的编码GL_Image:影像数据源GL_Type:冰湖类型GL_SubR:高亚洲冰湖分区GL_Time:数据源获取日期GL_Elev:冰湖平均海拔(m)GL_Area:冰湖面积(m2)GL_Peri:冰湖周长(m)GL_A_Error:冰湖面积误(m2)GL_Long:冰湖中心点经度(°)GL_Lati:冰湖中心点纬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Landsat陆地卫星影像数据 从美国地质调查局网站(https://www.usgs.gov/)和地理空间数据云(http://www.gscloud.cn/)下载。 冰川编目数据 中国第二次冰川编目数据(http://westdc.westgis.ac.cn)和RGI 6.0 (https://www.glims.org/RGI/rgi60_dl.html)。 SRTM 空间分辨率为1″的SRTM DEM数据，下载地址:http://imagico.de/map/demsearch.php。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遥感数据预处理：陆地卫星图像的假彩色合成 初步提取湖泊范围:使用基于ArcMap中近红外波段(NIR)和绿色波段(green)的NDWI自动提取整个HMA区域的每张图像。 公式: NDWI=(B_GREEN-B_NIR)/(B_GREEN+B_NIR ) 参考文献：Mcfeeters, S. K.: The use of the Normalized Difference Water Index (NDWI) in the delineation of open water features, Int. J. Remote Sens., 17(7), 1425-1432, doi: 10.1080/01431169608948714, 1996. 人工矢量化和输入属性数据 分成7个部分对16个高亚洲子区域进行冰湖边界矢量化。对冰湖进行矢量化后，需要同时手动输入属性项(如数据源、湖泊类型)。 交互检查和精度控制 (1)通过人机交互识别冰湖; (2)冰湖边界矢量化结果由另一个矢量化操作交互式地检验; (3)交互检查冰湖分类、新增/消失湖泊、分裂/合并湖泊等属性项。 采用Google Earth影像作为误差检测的重要辅助参考数据源。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人工目视解译划定的湖泊边界与GPS实测边界的绝对面积的百分比之差在5.5 - 25.5%之间。 冰湖边界划分的平均精度在±0.5像素(±15 m)以内。 误差计算的结果表明,在1990和2018年，两期冰湖编目数据集的绝对面积误差分别约为±2.11和±2.28 km2,平均相对误差分别为±13.5和±13.2%。</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1986/07/01-2019/11/30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高亚洲地区距冰川边界向外10 km缓冲区内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6247.0m-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1357.0m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高亚洲, 冰湖编目, 人工目视解译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高亚洲地区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67.00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王欣,  郭小宇,  杨成德,  刘琼欢,  魏俊峰,  张勇,  刘时银,  张艳林,  蒋宗立,  唐志光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王欣  </w:t>
      </w:r>
      <w:proofErr w:type="gramStart"/>
      <w:r>
        <w:rPr>
          <w:rFonts w:ascii="Times New Roman" w:hAnsi="Times New Roman" w:hint="eastAsia"/>
          <w:sz w:val="24"/>
          <w:szCs w:val="24"/>
          <w:lang w:eastAsia="zh-CN"/>
        </w:rPr>
        <w:t xml:space="preserve">,  郭小宇  </w:t>
      </w:r>
      <w:proofErr w:type="gramStart"/>
      <w:r>
        <w:rPr>
          <w:rFonts w:ascii="Times New Roman" w:hAnsi="Times New Roman" w:hint="eastAsia"/>
          <w:sz w:val="24"/>
          <w:szCs w:val="24"/>
          <w:lang w:eastAsia="zh-CN"/>
        </w:rPr>
        <w:t xml:space="preserve">,  杨成德  </w:t>
      </w:r>
      <w:proofErr w:type="gramStart"/>
      <w:r>
        <w:rPr>
          <w:rFonts w:ascii="Times New Roman" w:hAnsi="Times New Roman" w:hint="eastAsia"/>
          <w:sz w:val="24"/>
          <w:szCs w:val="24"/>
          <w:lang w:eastAsia="zh-CN"/>
        </w:rPr>
        <w:t xml:space="preserve">,  刘琼欢  </w:t>
      </w:r>
      <w:proofErr w:type="gramStart"/>
      <w:r>
        <w:rPr>
          <w:rFonts w:ascii="Times New Roman" w:hAnsi="Times New Roman" w:hint="eastAsia"/>
          <w:sz w:val="24"/>
          <w:szCs w:val="24"/>
          <w:lang w:eastAsia="zh-CN"/>
        </w:rPr>
        <w:t xml:space="preserve">,  魏俊峰  </w:t>
      </w:r>
      <w:proofErr w:type="gramStart"/>
      <w:r>
        <w:rPr>
          <w:rFonts w:ascii="Times New Roman" w:hAnsi="Times New Roman" w:hint="eastAsia"/>
          <w:sz w:val="24"/>
          <w:szCs w:val="24"/>
          <w:lang w:eastAsia="zh-CN"/>
        </w:rPr>
        <w:t xml:space="preserve">,  张勇  </w:t>
      </w:r>
      <w:proofErr w:type="gramStart"/>
      <w:r>
        <w:rPr>
          <w:rFonts w:ascii="Times New Roman" w:hAnsi="Times New Roman" w:hint="eastAsia"/>
          <w:sz w:val="24"/>
          <w:szCs w:val="24"/>
          <w:lang w:eastAsia="zh-CN"/>
        </w:rPr>
        <w:t xml:space="preserve">,  刘时银  </w:t>
      </w:r>
      <w:proofErr w:type="gramStart"/>
      <w:r>
        <w:rPr>
          <w:rFonts w:ascii="Times New Roman" w:hAnsi="Times New Roman" w:hint="eastAsia"/>
          <w:sz w:val="24"/>
          <w:szCs w:val="24"/>
          <w:lang w:eastAsia="zh-CN"/>
        </w:rPr>
        <w:t xml:space="preserve">,  张艳林  </w:t>
      </w:r>
      <w:proofErr w:type="gramStart"/>
      <w:r>
        <w:rPr>
          <w:rFonts w:ascii="Times New Roman" w:hAnsi="Times New Roman" w:hint="eastAsia"/>
          <w:sz w:val="24"/>
          <w:szCs w:val="24"/>
          <w:lang w:eastAsia="zh-CN"/>
        </w:rPr>
        <w:t xml:space="preserve">,  蒋宗立  </w:t>
      </w:r>
      <w:proofErr w:type="gramStart"/>
      <w:r>
        <w:rPr>
          <w:rFonts w:ascii="Times New Roman" w:hAnsi="Times New Roman" w:hint="eastAsia"/>
          <w:sz w:val="24"/>
          <w:szCs w:val="24"/>
          <w:lang w:eastAsia="zh-CN"/>
        </w:rPr>
        <w:t xml:space="preserve">,  唐志光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王欣</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41771075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冰湖对冰川融水的滞留作用及其灾害效应研究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B118B5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高亚洲冰湖编目</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41761144075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气候变暖影响下中巴经济走廊洪扎河流域冰川变化及其水文影响研究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41571061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湖泊接触冰川的物质平衡估算</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王欣,郭小宇,杨成德,刘琼欢,魏俊峰,张勇,刘时银,张艳林,蒋宗立,唐志光. 高亚洲冰湖编目数据集. 国家冰川冻土沙漠科学数据中心(http://www.ncdc.ac.cn), 2021. https://cstr.cn/CSTR:11738.11.ncdc.nieer.2020.1507.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