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东北多年冻土区30m冻土工程基础稳定性预测和评价数据（2023-2024年）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30m permafrost engineering foundation stability prediction and evaluation data of the permafrost region in Northeast China (2023-2024)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10.12072/ncdc.nieer.db7261.2026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11738.11.NCDC.NIEER.DB7261.2026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  该数据集以东北高纬度多年冻土区为研究对象，综合利用30 m空间分辨率的多源遥感数据、地表及地下温度监测资料、冻土类型分布及工程干扰信息，构建了冻土工程基础稳定性预测与评价模型。该数据集定量评估了线性工程沿线及其影响范围内的基础稳定性。评价结果采用0.0–1.0的无量纲稳定性指数表征，揭示了人类工程活动对多年冻土热平衡的破坏作用。数据呈现出显著的“线性聚焦”特征，即低稳定高风险带与交通、能源廊道高度重合，为区域尺度工程规划和冻害风险防控提供核心决策支撑。   本数据集核心要素为稳定性指数（无量纲，0-1），根据风险水平划分为三个等级：   高稳定区（0–0.30）：低风险，绿色显示。主要分布在大片不连续多年冻土内部，地温低、活动层稳定、干扰小。   中稳定区（0.30–0.60）：中风险，黄色显示。分布于融区较多的不连续冻土向岛状/零星冻土的过渡带。   低稳定区（0.60–1.0）：高风险，红色显示。   高度集中于线性工程（G111、G331、CRCOP管道等）沿线，形成连续或准连续的高风险带。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  综合利用30 m空间分辨率的多源遥感数据、公开的气候，人为等多源遥感数据资料、冻土类型分布及工程干扰信息，通过构建冻土工程基础稳定性预测与评价模型进行定量评估。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  模型构建：整合地温、冻土特征、活动层厚度及人为热扰动因子。   风险分级：根据稳定性指数（0-1）划分高、中、低稳定等级。   典型区验证：   漠河枢纽段：分析高含冰量区域由于路基吸热导致的热扰动扩散。   新林段：评估公路与铁路并行产生的复合扰动叠加效应。   黑河/劲松段：针对冻土南界（SLLP）敏感区的退化临界状态进行稳定性突变分析。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  （1）资源精度：本资源空间分辨率精确至30 m，评价指数采用无量纲数值（0.0至1.0），能够细致捕捉线性工程廊道内部及其周边3至5 km缓冲范围内的稳定性波动。   （2）数据采集与监测：评价模型输入项集成了卫星遥感反演的地表参数、研究区内典型断面及场点的地下温度监测序列，以及高精度的线性工程调查数据。   （3）模型方法与规范：稳定性评估算法综合考虑了多年冻土热稳定性、冻土分布特征及下垫面工程扰动强度。模型通过对植被隔热削弱及水热通量扰动的定量模拟，有效反映了工程基础失稳的潜在风险。   （4）适用范围与验证：资源质量通过了漠河枢纽段（高含冰量区）、新林段（复合工程扰动区）及黑河边缘段（南界高度敏感区）等典型区域的对比验证。评价结果与实地调查中的路面不均匀沉降、波浪状起伏等病害分布具有高度空间一致性，适用于寒区工程基础稳定性评估、灾害早期预警及环境变化响应研究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冻土工程基础稳定性, 30 m分辨率, 线性工程廊道, 冻害工程, 冻害风险评价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东北多年冻土区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金会军,  唐建军,  王文辉,  金晓颖,  李善珍,  黄帅,  陈敦,  王宏伟,  杨岁桥,  李祖旺,  燕翱翔,  程耀辉,  李景涛,  张泽,  王立峰,  张虎,  刘萌心,  张圣嵘,  杨雪,  刘子瑞,  岳子颖,  吴海彬,  邢鲁宁,  陈思宇,  徐景妍,  何峥雲,  米虹岐,  彭文昊,  梁峻贺,  史艳玲,  周智熠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2022FY100700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东北高纬度多年冻土本底及冻融灾害调查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金会军,唐建军,王文辉,金晓颖,李善珍,黄帅,陈敦,王宏伟,杨岁桥,李祖旺,燕翱翔,程耀辉,李景涛,张泽,王立峰,张虎,刘萌心,张圣嵘,杨雪,刘子瑞,岳子颖,吴海彬,邢鲁宁,陈思宇,徐景妍,何峥雲,米虹岐,彭文昊,梁峻贺,史艳玲,周智熠. 东北多年冻土区30m冻土工程基础稳定性预测和评价数据（2023-2024年）. 国家冰川冻土沙漠科学数据中心(http://www.ncdc.ac.cn), 2026. https://cstr.cn/CSTR:11738.11.NCDC.NIEER.DB7261.2026.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