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额济纳绿洲景观类型数据集（2000s、2010s、2020s）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Landscape types of Ejina oasis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10.12072/ncdc.nieer.db6431.2024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11738.11.NCDC.NIEER.DB6431.2024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反映了2000年、2010年和2020年额济纳不同景观面积变化，地类主要包括林地、灌木林、疏林地、水体、草地、建筑用地和荒漠，该数据集共包含27条数据记录，该数据集可为评估额济纳景观格局提供支撑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  2000年、2010年和2020年前后Landsat OLI遥感影像。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  经过图像镶嵌、几何校正、影像裁剪等预处理，按照中科院土地资源分类系统，采用基于像元的分类方法与面向对象的影像分析方法相结合。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  为确保数据质量，对分类结果进行人工检查与校正，数据质量整体良好，经审核后入库。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2021/07/10-2021/07/10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额济纳旗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林地, 水体, 荒漠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2000 2010 2020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额济纳绿洲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王川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马登科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王川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XDA23060304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山地-绿洲-荒漠协同发展模式与对策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王川. 额济纳绿洲景观类型数据集（2000s、2010s、2020s）. 国家冰川冻土沙漠科学数据中心(http://www.ncdc.ac.cn), 2024. https://cstr.cn/CSTR:11738.11.NCDC.NIEER.DB6431.2024.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