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干旱区荒漠化环境效应评估指标及支撑数据（1994、1999、2004、2009年）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Assessment indicators and supporting data of environmental effects of desertification in arid areas (1994, 1999, 2004,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10.12072/ncdc.973Desert.db0002.2020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包含文件：包括一个word文档的指标体系及有关指标的数据。数据中包括国家林业局荒漠化普查公报数据中荒漠化和沙漠化土地面积数据统计数据；典型区域石羊河下游、黑河下游、塔里木河流域和阿拉善盟的环境效应指标数据，共有五个字段：地表径流量（亿m3）、地下水开采量（亿m3）、地下水位（m）、各类土地面积（km2）</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数据来自国家林业局荒漠化普查公报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文字录入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数据录入后，经过二次校对，准确率100%。</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1994/01/01-2009/12/31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80.8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土地荒漠化, 评估指标, 环境效应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1994 1999 2004 2009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石羊河下游,  黑河下游,  塔里木流域,  中国,  阿拉善盟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张百平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张百平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张百平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绿洲化、荒漠化变化趋势及其环境效应综合评估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张百平. 干旱区荒漠化环境效应评估指标及支撑数据（1994、1999、2004、2009年）. 国家冰川冻土沙漠科学数据中心(http://www.ncdc.ac.cn), 2020. https://cstr.cn/CSTR:11738.11.ncdc.973Desert.2020.93.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