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1954-1980年黄土高塬沟壑区南小河沟流域径流泥沙观测数据集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and sediment observation data set of Nanxiaohegou watershed in the gully area of the Loess Plateau from 1956 to 1980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10.12072/ncdc.HWXFZhan.db0012.2020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11738.11.ncdc.HWXFZhan.2020.67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1954-1980年黄土高塬沟壑区南小河沟流域花果山水库出口、十八亩台、杨家沟及董庄沟，四个径流站径流泥沙观测数据，径流站的试验观测断面为巴歇尔量水堰、三角槽量水堰，观测方式为人工观测。主要包括南小河沟流域逐日流量数据、逐日平均含沙量数据、逐日平均输沙率数据、洪水水文要素摘录数据、逐次洪水测验成果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位观测：汛期、非汛期基流人工定时观测，非汛期基流采用2段制，即8时、20时各观测一次；汛期基流采用4段制，即2时、8时、14时、20时各观测一次，汛期时段6～9月。洪水期或者水位变化急剧期，在读取控制起涨、峰顶、落平和其它水位涨落重要转折点水位的前提下，大致按水位变化均匀布设测次，峰顶附近不少于3次，一般单峰不少于11次，落平后30min到1.0h观测一次，要求能测得各次峰、谷和完整的水位变化过程。 泥沙观测 ： 人工采用水边一点法取沙。洪水期取沙次数以能控制住含沙量变化过程为原则，水沙峰不一致或含沙量变化剧烈时，测次需适当增加。水样处理全部采用置换法处理 （1）流量计算：用观测水位推算流量，计算公式为巴歇尔堰：Q=3.7H1.59，杨家沟三角槽量水堰：Q=0.49-2.68H+7.09H²，董庄沟三角 槽量水堰：Q=1.078-4.54H+7.96H² Q:流量，单位：m³/s;H:水位，单位：m。 （2）含沙量计算：p=ws/v*1000计算含沙量，p：实测含沙量，单位：kg/m³； v：水样容积，单位：cm³；ws：水样中干沙重，单位：g。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1956/01/01-1980/12/31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1050.0m-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1423.0m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平均流量, 侵蚀模数, 平均含沙量, 径流模数, 平均输沙率, 径流深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水文测量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1956 1957 1958 1959 1960 1961 1962 1963 1964 1965 1966 1967 1968 1969 1970 1971 1972 1973 1974 1975 1976 1977 1978 1979 1980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西峰区,  南小河沟流域,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1954-1980年黄土高塬沟壑区南小河沟流域径流泥沙观测数据集. 国家冰川冻土沙漠科学数据中心(http://www.ncdc.ac.cn), 2021. https://cstr.cn/CSTR:11738.11.ncdc.HWXFZhan.2020.67.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