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of impact range of snowmelt flood in typical river basin from 2010 to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10.12072/ncdc.isnow.db2715.2023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11738.11.ncdc.isnow.db2715.2023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determination of flood inundation range is the basis of disaster assessment. This data set takes two typical snowmelt floods that occurred in the Manas River basin on the north slope of the middle part of Tianshan Mountains in Xinjiang from March 29 to 31, 2011 and the Kaidu River basin on the south slope of the middle part of Tianshan Mountains in Xinjiang on April 20, 2010 as an example, and makes a thematic map of flood impact area based on Landsat7 satellite images. This thematic map can provide basic reference data for flood control and disaster reduction, flood risk analysis and disaster assessment. The spatial range of this thematic map includes the Manas River basin, with a spatial resolution of 15 m and a temporal resolution of daily. This data set includes one vector data (shp) of impact range of snowmelt flood in Manas River basin from March 29 to 31, 2011, one vector data (shp) of impact range of snowmelt flood in Kaidu River basin on April 20, 2010, and two thematic maps. This data set is fully open and shared.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It mainly includes: a thematic map of the impact range of snowmelt flood in the Manas River and Kaidu River basins, and the corresponding mapping data: vector data of the impact range of snowmelt flood in the Manas River basin from March 29 to 31, 2011 (shp), and vector data of the impact range of snowmelt flood in the Kaidu River basin on April 20, 2010 (shp). For specific data elements, see (Table 1) the description of the elements of the impact scope of the snowmelt flood in the Manas River basin from March 29 to 31, 2011, and (Table 2) the description of the elements of the impact scope of the snowmelt flood in the Kaidu River basin on April 20, 2010.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specific calculation flow is shown in (Figure 1) Flood extraction technology flow chart;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flood impact range vector data (shp) is obtained through processing. First of all, atmospheric correction and orthophoto correction were carried out for the Landsat7 satellite data on February 11, 2011 before the disaster and March 31, 2011 after the disaster. Then, the orthophoto multi-spectral and panchromatic images are fused to generate a standard fusion product (with a spatial resolution of 15m). According to the sensitivity difference of different wave bands to water body characteristics, the band selection of the standard fusion data product is carried out, and the band combination is carried out for band7 (2.09~2.35 30m), band1 (0.45~0.515 30m), band2 (0.525~0.605 30m) bands that are more sensitive to water body, It can effectively reflect the water body information. Finally, k-means unsupervised classification technology is used for image classification of multiple sensitive band combination false color products. After many tests, 2% is finally used as the change threshold for classification, and the number of classification is 5. On the whole, water bodies are concentrated in class 2, class 3 and class 4. The extraction rule set is established for the classification pattern, and the pattern selection after classification is carried out. Combined with the expert identification experience, the classification results are refined and adjusted locally to form the final water body information product and water body range. Water information products and water scope are stored in shp format and can be opened with Arcgis and other software. As above, prepare and generate the data of the impact range of the snowmelt flood in the Kaidu River basin on April 20, 2010.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place:Dianmanas River Basin and Kaidu River Basin on the north slope of the middle Tianshan Mountains in Xinjiang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Theme:Snowmelt flood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Place:Manas River basin,  Kaidu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Yan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Yan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Yan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Yan. Data of impact range of snowmelt flood in typical river basin from 2010 to 2011. National Cryosphere Desert Data Center(http://www.ncdc.ac.cn), 2023. https://cstr.cn/CSTR:11738.11.ncdc.isnow.db2715.2023.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