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渭河流域MODIS  MCD12Q1土地利用（LC500米）数据集（2001-2019年）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Weihe River Basin MODIS MCD12Q1 Land Use (LC500 m) Dataset (2001-2019)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10.12072/ncdc.WRiver.db0015.2021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11738.11.ncdc.WRiver.2021.13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  该土地覆盖数据集中包含了17个主要土地覆盖类型，根据国际地圈生物圈计划（IGBP），其中包括11个自然植被类型，3个土地开发和镶嵌的地类和3个非草木土地类型定义类。   IGBP的全球植被分类方案数据类型最为丰富，因此采用第一个数据集分类方案(LC_Type1)的数据。数据类型是8位无符号整型，有效值范围为1-17,255是填充值。   利用MRT工具及Python语言代码，进行批量拼接、投影转换、裁剪等处理，生成2001-2019年渭河流域MODIS MCD12Q1 土地利用类型数据。本数据集空间分辨率为500米，时间分辨率为每年合成。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  数据来源于nasa官网（https://ladsweb.modaps.eosdis.nasa.gov/search/）。   该数据集的数据源为MCD12.v6版本数据，涉及分幅影像网格为h26v05和h27v05，空间分辨率为500米，每年合成。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  运行MRT工具，生成MCD12Q1数据拼接和投影转换的prm文件，输出投影为Albers投影,空间分辨率为500米。   利用MATLAB 语言程序生成调用MRT工具的批处理文件，并运行。   利用渭河流域矢量边界，采用Python批量裁剪等步骤，最后采用GeoTIFF格式输出保存。   IGBP分类方案的信息提取主要技术是监督决策树分类。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  该数据集数据质量与MCD12Q1质量一致。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渭河流域, MCD12Q1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渭河流域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渭河流域MODIS  MCD12Q1土地利用（LC500米）数据集（2001-2019年）. 国家冰川冻土沙漠科学数据中心(http://www.ncdc.ac.cn), 2021. https://cstr.cn/CSTR:11738.11.ncdc.WRiver.2021.13.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