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Three-level zoning of water resources in northwest inland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 includes the three-level zoning boundary of water resources in the northwest inland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According to the national water resources zoning standard, the three-level zoning boundary of water resources in the inland area of Northwest China is extracted.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watershed boundary of northwest inland area is divided by manual interpretation and comparison.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Acquire and process data in strict accordance with relevant operating specifications.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time:1984/01/01-1984/12/31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area, water resources, three-level area of water resources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Three-level zoning of water resources in northwest inland area. National Cryosphere Desert Data Center(http://www.ncdc.ac.cn), 2022. https://cstr.cn/CSTR:11738.11.ncdc.XBSAQ.db2301.2022.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