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交联剂对阴离子印迹聚合物模板效应研究数据集（2018年9月）</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Dataset on the Template Effect of Crosslinking Agents on Anionic Imprinted Polymers (September 2018)</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10.12072/ncdc.UTCMW.db2131.2022</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11738.11.ncdc.UTCMW.db2131.2022</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登录获取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其他</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模板效应被认为是离子印迹聚合物(IIP)技术最重要的特征。然而，在模板效应的理论化和将模板效应应用于实践方面还存在一定的空白。在本研究中，我们提出了一种通过调节交联比例来控制IIPs模板效应的方法。合成了一系列不同交联剂含量的Cr(VI)-IIPs。在对配位选择性和模板效应进行定性分析的基础上，利用Scatchard方程建立了交联剂产生的模板效应的理论方程。在Cr(VI)去除过程中，当功能单体与交联剂的摩尔比为1/5.46时，模板效应的贡献开始超过配位效应，且随着交联剂含量的增加，模板效应进一步增强。在实际废水处理应用中，根据所得方程设计的IIP-1/12和IIP-1/6对两种不同类型的废水均能有效处理。本研究提出的标准化方程和设计概念从理论上说明了交联剂对材料选择性的作用。这为离子印迹技术的模板效应的设计和应用提供了更大的灵活性。   交联剂对聚合物模板效应的作用:以阴离子印迹聚合物为例数据集，采用实验方法获得，数据格式为十进制(.xls)，数据量为13组，共720条实验数据。</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  室内实验、公式推理，自主产生。</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  采用Scatchard模型系数系统软件模块进行建模。实验采用功能单体/交联剂为1/4、1/6、1/8、1/10、1/12、1/15摩尔比的Cr(VI)-IIP与NIP对0.2、2、6 mmol/L等不同离子溶液进行吸附实验，获得数据。</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  数据质量良好。</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2018/09/01-2018/09/30</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江西省南昌市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809.2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excel</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 xml:space="preserve">数据时间分辨率：</w:t>
      </w:r>
      <w:r>
        <w:rPr>
          <w:rFonts w:ascii="Times New Roman" w:hAnsi="Times New Roman" w:hint="eastAsia"/>
          <w:sz w:val="24"/>
          <w:szCs w:val="24"/>
          <w:lang w:eastAsia="zh-CN"/>
        </w:rPr>
        <w:t xml:space="preserve">日</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交联剂, 模板效应, 离子印迹聚合物</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地质学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2018</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江西省南昌市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29.17</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116.55</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115.45</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28.12</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敏玉芳</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杨利明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杨利明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敏玉芳</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2018YFC0406400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大型煤矿和有色矿矿井水高效利用技术与示范</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杨利明. 交联剂对阴离子印迹聚合物模板效应研究数据集（2018年9月）. 国家冰川冻土沙漠科学数据中心(http://www.ncdc.ac.cn), 2022. https://cstr.cn/CSTR:11738.11.ncdc.UTCMW.db2131.2022.</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