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山西省太原市碳钢渣+粗砂数值模拟数据（2020年3月）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Numerical simulation data of carbon steel slag+coarse sand in Taiyuan City, Shanxi Province (March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11738.11.ncdc.UTCMW.db2188.2022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硫酸盐作为模拟因子，采用Hydurs-1D软件进行数值模拟，基于水动力弥散理论，建立连续一维PRB数学模型，分别对碳钢渣和粗砂配比PRB的淋溶实验进行模拟及参数确定，模拟五种不同宽度PRB处理酸性老窑水，明确PRB治理酸性老窑水的运行期限及最优宽度。数据集共包含数据量为10组，3600个数据/组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  采用Hydurs-1D软件进行数值模拟，计算输出结果精度设置为0.001g/L。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数值模拟, PRB数学模型, 淋溶实验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山西省太原市碳钢渣+粗砂数值模拟数据（2020年3月）. 国家冰川冻土沙漠科学数据中心(http://www.ncdc.ac.cn), 2022. https://cstr.cn/CSTR:11738.11.ncdc.UTCMW.db2188.2022.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