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of Wudaoliang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meteorological observation data of Wudaoliang from May 21 to December 31, 2005. When the data contains the number of days_ Downward short-wave radiation (w/m2) upward short-wave radiation (w/m2) downward long-wave radiation (w/m2) upward long-wave radiation (w/m2) net radiation (w/m2), 3m wind speed (m/s), 3m wind direction (degree), standard deviation of wind direction 1, 5m wind speed (m/s), 5m wind direction (degree), standard deviation of wind direction 2, 15m wind speed (m/s) 15m wind direction (degree), standard deviation of wind direction 3, 30m wind speed (m/s) 30m wind direction (degree), standard deviation of wind direction 4, 3m air temperature (℃) 5m air temperature (℃) 15m air temperature (℃), 30m air temperature (℃), 3m air humidity (%), 5m air humidity (%), 15m air humidity (%), 30m air humidity (%), 3m air water pressure (KP), 5m air water pressure (KP), 15m air water pressure (KP), 30m air water pressure (KP), and atmospheric pressure (P). The sampling frequency of each data is 30 minutes.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time:2005/05/21-2005/12/31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place:Observation and experimental station of Cryosphere in 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Theme:Observation, Qinghai-Tibet Plateau, Perennially frozen soil, meteorological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contacts:Shi Jian zung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Meteorological observation data of Wudaoliang in 2005. National Cryosphere Desert Data Center(http://www.ncdc.ac.cn), 2022. https://cstr.cn/CSTR:11738.11.ncdc.nieer.2020.1166.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