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兰州地区广域增强实时GNSS变形监测科学数据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ground deformation in the Yellow River Basin of Lanzhou  from 2017 to 2025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10.12072/ncdc.loess.db7340.2026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11738.11.ncdc.loess.db7340.2026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  地面沉降会对城市基础设施、自然环境以及社会经济发展造成多重危害，因此有必要对齐进行长期监测。本研究选取2017年3月27日至2025年7月19日期间获取的116幅 Sentinel-1 卫星 SAR 影像，结合精密轨道数据、30 m 空间分辨率的 Shuttle Radar Topography Mission（SRTM）数据以及 GACOS 天顶对流层延迟产品，通过 SBAS-InSAR 技术获取了兰州市黄河流域的地表形变信息。结果显示，袁家营、白道坪、西津坪周边以及罗家滩东北部、包家咀西北部等区域存在较为明显的地表沉降，而研究区大部分区域未发现显著沉降或隆起现象。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  在本数据集中，InSAR 处理所依赖的数据包括 ASF 提供的 Sentinel-1 InSAR 影像、精密星历数据、SRTM 数字高程模型以及 GACOS 天顶对流层延迟产品。ASF 的 Sentinel-1 影像具有较高的相位精度和良好的时空覆盖条件，结合干涉处理后能够实现毫米至厘米级的地表形变探测。本数据集采用的影像间的默认时间间隔为24天，部分时间段可能会根据实际情况有所调整。为了进一步提高几何定位精度，采用 ASF 发布的 Sentinel-1 精密星历产品（POEORB），其轨道三维误差通常小于 5 cm，是 InSAR 高精度解算的关键辅助数据。地形相位的移除基于 30 m 分辨率的 Shuttle Radar Topography Mission（SRTM）数字高程模型，该数据具有约 10 m 的垂直精度和较好的全球一致性。为减弱大气对流层造成的相位延迟干扰，使用了 GACOS 提供的天顶对流层延迟数据，其对流层延迟误差可降低至 1–2 cm。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理编码几何质量度量RMSE（mm），该值越高拟合和反演的质量，本数据集中最大值为21.23mm，最小值为0.99mm其中99%的区域均小于7.2mm.形变速率的平均精度最大值为2mm/year,最小值为0.07mm/year.高程测量的平均精度最大值为2mm,最小值为0.13mm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中国，兰州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地面形变, 沉降监测, sbas-insar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大地测量学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2017 2018 2019 2020 2021 2022 2023 2024 2025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2022YFC3003402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黄土地质体/灾害体结构和物性参数大范围快速探测技术装备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徐达. 兰州地区广域增强实时GNSS变形监测科学数据. 国家冰川冻土沙漠科学数据中心(http://www.ncdc.ac.cn), 2026. https://cstr.cn/CSTR:11738.11.ncdc.loess.db7340.2026.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