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on rural eco-tourism competitiveness in Chengdu-Chongqing Twin Cities Economic Circle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10.12072/ncdc.tourism.db7303.2026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11738.11.NCDC.TOURISM.DB7303.2026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Natural environment: DEM elevation data, multi-year average temperature and multi-year average precipitation data, and river system data;  (2) Ecological environment: NDVI data, PM2.5 data set, land use data and ecological aesthetic value data characterize vegetation coverage and growth trend, air quality, regional landscape ornamental value, etc.;  (3) Humanistic economy: data from the research area's cultural tourism official website;  (4) Infrastructure: OpenStreetMap publishes map data, relevant materials released by the Sichuan Province Department of Culture and Tourism, and the Chongqing City Culture and Tourism Development Committee, among which infrastructure data is collected and compiled from Gaode Map.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Natural environment: Based on DEM elevation data, multi-year average temperature, multi-year average precipitation data, and river system data, a natural environment data set for rural eco-tourism competitiveness in the Chengdu-Chongqing Shuangcheng Economic Circle was constructed, and terrain such as slope and aspect were further extracted. Factors, and at the same time calculate the water system density based on the length of the river system and the area of towns;  (2) Ecological environment: Based on NDVI data, PM2.5 dataset, land use data and ecological aesthetic value data, vegetation coverage and growth trend, air quality, regional landscape ornamental value, etc., and using the Habitat Quality model of InVEST model to calculate habitat quality in the region;  (3) Humanities economy: Collect and collate information on traditional villages, famous historical and cultural villages and towns in the Chengdu-Chongqing urban agglomeration, and the national intangible cultural heritage directory released in recent years on the official websites of various cultural tourism to represent the number of traditional cultures in the region, and Consider GDP and population density indicators to characterize the basis of regional economic development, the frequency of regional economic activities and potential tourism market conditions respectively;  (4) Infrastructure: Collection and collation of OpenStreetMap public map data, relevant data released by the Sichuan Province Department of Culture and Tourism, and the Chongqing City Culture and Tourism Development Commission.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place:Chengdu-Chongqing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Theme:Chengdu Chongqing Economic Circle, Ecotourism Competitiveness, Rural Tourism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Place:Chengdu-Chongqing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 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 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Xuemei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number:22BJY140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 qin. Data set on rural eco-tourism competitiveness in Chengdu-Chongqing Twin Cities Economic Circle (2020). National Cryosphere Desert Data Center(http://www.ncdc.ac.cn), 2026. https://cstr.cn/CSTR:11738.11.NCDC.TOURISM.DB7303.2026.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