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2020.9.23-10.17间由于采集器的问题，风速风向数据缺失；（2）剔除有重复记录的时刻；（3）删除了明显超出物理意义或超出仪器量程的数据；（4）数据中以红字标示的部分为有疑问的数据；（5）日期和时间的格式统一，并且日期、时间在同一列。如，时间为：2020-6-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祁连山综合观测网：黑河流域地表过程综合观测网（大满超级站气象要素梯度观测系统-2020）.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