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2020.9.23-10.17间由于采集器的问题，风速风向数据缺失；（2）剔除有重复记录的时刻；（3）删除了明显超出物理意义或超出仪器量程的数据；（4）数据中以红字标示的部分为有疑问的数据；（5）日期和时间的格式统一，并且日期、时间在同一列。如，时间为：2020-6-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