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of 7 asymmetric catalytic reactions catalyzed by 7 chiral rare earth complexes with high catalytic performance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research process of asymmetric catalysis of chiral rare earth organic complexes, including specific reaction types, reaction condition screening, reaction steps, substrate applicability, theoretical analysis, and potential application prospects.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nuclear magnetic resonance spectroscopy technology, Bruker AV Neo 400M liquid superconducting nuclear magnetic resonance spectrometer was used to test the 1H, 13C or 19F spectra of the test compound in suitable deuterated reagents. MestReNova was used for data processing, and the chemical structure was determined based on the chemical shift of the spectral peaks. The precise molecular weight of the product was determined using an Agilent LC/MSD TOF high-resolution mass spectrometer, the optical purity (ee value) of the product was measured using an Agilent Technologies 1260 Infinity chiral liquid chromatograph, and the specific rotation was measured using an Anton Paar MCP500 polarimeter. The relevant measurement methods are widely accepted and adopted in the industry, and have been reviewed by experts.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and the relevant data was collected from the Synthesis Laboratory of Beijing University of Chemical Technology. Collect the feeding amount of reactants and the yield of products using a high-precision balance (accurate to 0.001 grams), and calculate the production rate. By strictly regulating the synthesis experiment process and verifying it multiple times with multiple people, the reliability of data collection is ensured.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catalytic performance chiral rare earth complexes, Asymmetric catalytic reaction, Research Report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 xi,  yang zhan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zhan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zhan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 xi, yang zhan hui. A dataset of 7 asymmetric catalytic reactions catalyzed by 7 chiral rare earth complexes with high catalytic performance. National Cryosphere Desert Data Center(http://www.ncdc.ac.cn), 2026. https://cstr.cn/CSTR:11738.11.ncdc.gcxtsj.db7375.2026.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