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滁河流域典型蓄滞洪区场次洪水河网信息及闸门参数数据集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flood network information and gate parameters in typical flood storage and detention areas in the Chuhe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10.12072/ncdc.nhri.db6800.2025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11738.11.NCDC.NHRI.DB6800.2025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选取滁河干流自上而下荒草二圩、荒草三圩、蒿子圩、汪波东荡四个蓄滞洪区进行洪水水文水动力学模拟。据此本数据集通过调研整理了建模所需的基础数据，包括场次洪水闸上水位数据（单位m）、滁河河网中河道断面数据和中心线数据（数据格式.shp）和闸门参数。选取1991.6、2015.6和2020.7总共3场次洪水进行模拟。   建模范围划定为滁河干流中游襄河口闸至汊河集闸处，长度为34km，建模时，通过实测资料、影像资料以及闸门参数来对河道和断面进行概化，总计12个断面，断面间距为1-3 km。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  本研究闸门数据、断面数据、河道数据、场次洪水数据来源自长江流域水文年鉴实测资料整理。有较强可靠性。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作为基础数据参与模型构建。所获取的数据均从长江流域水文年鉴摘录，涉及从纸质文件到电子文档的转化，方便存储计算。所形成的滁河河网数据相关的.shp文件均为自己通过对应的长江流域水文年鉴数据建模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一维河道模型率定结果来看，滁河干流典型测站模拟水位过程与实测水位过程比较接近，模拟得到的最高水位与实际值相差最大不超过0.3m，滁河干流典型测站模拟值和实际值的相对误差平均值均小于5%，表明所建河道一维模型精度较高。   从蓄滞洪区的洪水模拟结果来看，1991.6、2015.6和2020.7总共3场次洪水模拟结果与实际情况分析变化趋势整体一致，表明模型计算结果较为可靠。   从蓄滞洪区的分洪损失核算结果来看，2015.6和2020.7场次洪水中，荒草二圩、三圩蓄滞洪区模拟计算洪灾损失与实际情况误差低于10%，表明模型计算结果较为可靠。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1996/06/01-2020/07/31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长江下游典型蓄滞洪区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*.shp,*.xlsx,*.docx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蓄滞洪区, 断面资料, 闸门参数, 河网信息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滁河,  荒草二圩,  荒草三圩,  蒿子圩,  十八联圩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陈兆懿. 滁河流域典型蓄滞洪区场次洪水河网信息及闸门参数数据集. 国家冰川冻土沙漠科学数据中心(http://www.ncdc.ac.cn), 2025. https://cstr.cn/CSTR:11738.11.NCDC.NHRI.DB6800.2025.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