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祁连山地区90m分辨率土壤有机碳密度（0~100cm）数据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90m resolution in the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祁连山地区90m分辨率土壤有机碳密度（0~100cm）数据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 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各子区域合并后获得整个祁连山地区土壤有机碳密度均值（mean）和标准差（sd），分辨率为10m，数据量72.40GB，采用bilinear法重采样至90m，数据量1.12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祁连山及其周边地区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土壤有机碳密度, 90m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祁连山及其周边地区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祁连山地区90m分辨率土壤有机碳密度（0~100cm）数据. 国家冰川冻土沙漠科学数据中心(http://www.ncdc.ac.cn), 2023. https://cstr.cn/CSTR:11738.11.ncdc.qlsst.db2694.2023.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 (11): 1101-1114.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 李宗省等. 加快构建西北地区生态保护新格局[J]. 中国科学院院刊, 2022, 37, (10): 1457-1470.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 Yongge，Liu Wei，Feng Qi，et al. Effects of land use and land cover change on soil organic carbon storage in the Hexi Regions, Northwest China[J]. Journal of Environmental Management, 2022, 312:114911.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 Meng，Feng Qi，Qin Yanyan，et al. The role of topography in shaping the spatial patterns of soil organic carbon[J]. CATENA, 2019, 176: 296-305.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