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黑河流域1:100万草场分布数据集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grassland distribution data set in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分类原则：天然草场类型的形成、发展和演变，受生态环境和人类的经济活动(包括放牧、 开垦、樵柴等)所制约，因此，草场分类中必须考虑自然条件和社会经济两个方面。具体原则 参照土地里类型划分的综合性因素、 主导性因素和生产应用相结合的三原则进行分类。主要属性信息说明：草场类（MAINTYPE）：一级分类草场亚类（TYPE）：二级分类，也称为组，草场型（SUBTYPE）：三级分类，以植被的特征种或建群种表示。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重点牧区草场资源调查大纲和技术规程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景观法为主， 按地貌、土壤 、植被三要素的综合进行划分，即在自然地带的基础上，根据地貌、 土壤、植被三个主导分异因素进行逐级划分。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主要根据1981年北方草场资源调查办公室拟定的《重点牧区草场资源调查大纲和技术规程》的要求，结合本区草场的实际情况进行分类。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草场分布, 放牧, 草场类, 草场亚类, 草场型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黑河流域1:100万草场分布数据集. 国家冰川冻土沙漠科学数据中心(http://www.ncdc.ac.cn), 2020. https://cstr.cn/CSTR:11738.11.ncdc.Westdc.2020.782.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