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黄土高原地区县域尺度退耕还林（草）工程面积数据集（1999-2020年）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county-level scale Grain for Green (Grassland) Project Area in the Loess Plateau Region (1999-2020)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10.57760/sciencedb.j00001.00926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https://cstr.cn/31253.11.sciencedb.j00001.00926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大生态工程的实施会导致土地利用的广泛变化，从而影响区域生态系统服务功能。为探索1999-2020年黄土高原退耕还林工程实施区域的时空格局和趋势变化，在考虑中国行政区划的基础上，构建了黄土高原县域数据集。其中，利用ArcGIS软件对土地利用年度数据进行提取和处理，得到1999-2020年黄土高原各县（区）年度GGP实施面积数据，包括7种土地利用转换类型，数据总量为179.1MB。该数据集为黄土高原生态环境的保护与管理提供了理论依据，为区域GGP项目的实施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  本数据集来源于Science Data Bank（https://www.scidb.cn/en/detail?dataSetId=17045bd2f7dc41b7852e74f7a67be8da&amp;version=V1）。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  利用ArcGIS软件对土地利用年度数据进行提取和处理，得到1999-2020年黄土高原各县（区）年度GGP实施面积数据。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 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黄土高原, 植被恢复, 县域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邓蕾,  白芮华,  汪晓珍,  李继伟,  杨锋,  上官周平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U2243225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黄土高原水蚀环境下水土保持碳汇形成机理与调控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邓蕾,白芮华,汪晓珍,李继伟,杨锋,上官周平. 黄土高原地区县域尺度退耕还林（草）工程面积数据集（1999-2020年）. 国家冰川冻土沙漠科学数据中心(http://www.ncdc.ac.cn), 2025. https://cstr.cn/CSTR:https://cstr.cn/31253.11.sciencedb.j00001.00926.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白芮华, 汪晓珍, 李继伟, 杨锋, 上官周平, 邓蕾. 1999–2020年黄土高原地区县域尺度退耕还林(草)工程面积数据集[J]. 中国科学数据（中英文网络版）, 2025, 10, (4): 1-9.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