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黄土高原地区县域尺度退耕还林（草）工程面积数据集（1999-2020年）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county-level scale Grain for Green (Grassland) Project Area in the Loess Plateau Region (1999-2020)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10.57760/sciencedb.j00001.00926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https://cstr.cn/31253.11.sciencedb.j00001.00926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大生态工程的实施会导致土地利用的广泛变化，从而影响区域生态系统服务功能。为探索1999-2020年黄土高原退耕还林工程实施区域的时空格局和趋势变化，在考虑中国行政区划的基础上，构建了黄土高原县域数据集。其中，利用ArcGIS软件对土地利用年度数据进行提取和处理，得到1999-2020年黄土高原各县（区）年度GGP实施面积数据，包括7种土地利用转换类型，数据总量为179.1MB。该数据集为黄土高原生态环境的保护与管理提供了理论依据，为区域GGP项目的实施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  本数据集来源于Science Data Bank（https://www.scidb.cn/en/detail?dataSetId=17045bd2f7dc41b7852e74f7a67be8da&amp;version=V1）。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  利用ArcGIS软件对土地利用年度数据进行提取和处理，得到1999-2020年黄土高原各县（区）年度GGP实施面积数据。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 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黄土高原, 植被恢复, 县域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邓蕾,  白芮华,  汪晓珍,  李继伟,  杨锋,  上官周平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邓蕾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邓蕾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U2243225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黄土高原水蚀环境下水土保持碳汇形成机理与调控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邓蕾,白芮华,汪晓珍,李继伟,杨锋,上官周平. 黄土高原地区县域尺度退耕还林（草）工程面积数据集（1999-2020年）. 国家冰川冻土沙漠科学数据中心(http://www.ncdc.ac.cn), 2025. https://cstr.cn/CSTR:https://cstr.cn/31253.11.sciencedb.j00001.00926.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白芮华, 汪晓珍, 李继伟, 杨锋, 上官周平, 邓蕾. 1999–2020年黄土高原地区县域尺度退耕还林(草)工程面积数据集[J]. 中国科学数据（中英文网络版）, 2025, 10(4): 1-9.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