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长三角生态绿色一体化发展示范区跨地区防洪除涝协同性评价数据集（1999年）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for Evaluation of Cross-Regional Synergy in Flood Prevention and Removal in the Yangtze River Delta Eco-Green Integrated Development Demonstration Area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进一步构建跨地区防洪除涝标准协同评价准则，为跨地区防洪除涝标准的协同设计提供科学依据。基于主从博弈建立不同区县之间决策信息反馈博弈模型，形成一套各区县防洪除涝协同性评价准则，用来均衡各区县之间排涝利益冲突，利用太湖流域模型，以长三角生态绿色一体化发展示范区为研究对象，设置一系列防洪除涝方案，利用太湖流域1999年南部型设计暴雨作为输入，利用太湖模型运行模拟，获取水位数据，评价不同方案下的跨地区城市间防洪除涝能力的协同性，最终提出有效协同各区县之间防洪除涝的组合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  本数据集数据来源自太湖流域模型运行计算结果。有一定可靠性。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最新的下垫面数据、研究区圩区排涝模数、泵站排涝能力数据，优化更新了太湖流域模型，设置了一系列研究区域防洪除涝方案。并选取太湖流域100年一遇“99南部”型设计暴雨进行模拟，获得了跨地区防洪除涝协同性评价数据集，分析了跨地区城市间相互协同的防洪除涝标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太湖流域模型率定结果来看，模型站模拟水位过程与实测水位过程比较接近，模拟得到的最高水位与实际值相差最大不超过0.1m，长三角生态绿色一体化发展示范区内部测站模拟值和实际值的相对误差平均值均小于5%，表明更新后的太湖流域模型的模拟精度较高。   筛选了防洪风险度和圩内最高水位两个关键因子以反映流域和地区层面洪涝情势及治理能力，提出了基于主从博弈的跨地区防洪除涝标准协同性评价准则并在示范区开展了实证应用。   ① 多阶段博弈结果表明，上下游地区排涝能力不协同是导致整体防洪除涝风险较高的原因；扩大自身排涝能力在降低自身排涝风险的同时也会增加毗邻地区防洪除涝风险，更会对自身防洪产生负反馈；   ② 现状方案下即吴江采用排涝动力为1728.0时m3/s，下游排涝动力为1290.6m3/s，下游地区圩内发生内涝风险较高，示范区的防洪除涝不协同；   ③ 在保证各圩区排涝安全的情景下，优化博弈双方的排涝动力，最终确定上下游相协同的防洪除涝能力组合为：约束上游吴江地区排涝动力至1600m3/s，同时提升下游嘉善青浦的排涝动力至1700m3/s，能够使研究区实现示范区圩区内部和外部河网水位不超设计水位，此时示范区的防洪除涝的效益综合最优，防洪除涝能力最为协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长三角生态绿色一体化发展示范区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长三角生态绿色一体化发展示范区, 一维水动力学模型, 太湖流域模型, 协同性评价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太湖流域,  长三角生态绿色一体化发展示范区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商守卫. 长三角生态绿色一体化发展示范区跨地区防洪除涝协同性评价数据集（1999年）. 国家冰川冻土沙漠科学数据中心(http://www.ncdc.ac.cn), 2025. https://cstr.cn/CSTR:11738.11.NCDC.NHRI.DB6773.2025.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