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黑河生态水文遥感试验：黑河流域中游核心试验区机载激光雷达DSM点云数据（2012年）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test: Airborne Lidar DSM point cloud data in the core test area of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10.12072/ncdc.nieer.db3485.2023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19日，在黑河中上游的核心观测区域，利用运12飞机，搭载Leica公司ALS70,开展了lidar航空遥感飞行试验。ALS70激光波长为1064纳米，多次回波（1,2,3和末次）。中游地区飞行相对高度1500米（海拔高度2700米)，平均点云密度4点/平方米。通过参数检校、点云自动分类和人工编辑等步骤，最终形成DS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  2012年7月19日，在黑河中上游的核心观测区域，利用运12飞机，搭载Leica公司ALS70,开展了lidar航空遥感飞行试验。ALS70激光波长为1064纳米，多次回波（1,2,3和末次）。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  中游地区飞行相对高度1500米（海拔高度2700米)，平均点云密度4点/平方米。通过参数检校、点云自动分类和人工编辑等步骤，最终形成DSM数据产品。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2012/07/19-2012/07/19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遥感产品, DSM, 激光雷达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闻建光. 黑河生态水文遥感试验：黑河流域中游核心试验区机载激光雷达DSM点云数据（2012年）. 国家冰川冻土沙漠科学数据中心(http://www.ncdc.ac.cn), 2021. https://cstr.cn/CSTR:11738.11.ncdc.NIEER.2021.28.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