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2001年、2008年黄河流域重点支流主要特征数据集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Main characteristic data sets of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11738.11.ncdc.HHSTBC.2020.207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、2008年的基础特征统计数据集，主要包括支流名称、发源地、干流流经行政区域、干流长、河源海拔、河口海拔、相对高差、平均比降、面积、涉及水土流失类型区等数据，其中2001年和2008年统计数据分别包含34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158.2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Excel,shp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支流名称，发源地，干流流经行政区域，干流长，河源海拔，河口海拔，相对高差，平均比降，面积，涉及水土流失类型区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宁夏,  山西省,  河南省,  山东,  青海省,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102.19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2001年、2008年黄河流域重点支流主要特征数据集. 国家冰川冻土沙漠科学数据中心(http://www.ncdc.ac.cn), 2021. https://cstr.cn/CSTR:11738.11.ncdc.HHSTBC.2020.207.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