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人工草地植物斑块结构对杂草入侵抗性的影响及土壤生态机制数据集（2024-2025年）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plant patch structure effects on weed invasion resistance and soil ecological processes in artificial grasslands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10.12072/ncdc.db7774.2026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11738.11.ncdc.db7774.2026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  本数据集包含人工草地生态系统中植物空间配置方式、杂草入侵响应及土壤生态过程相关数据。研究通过构建不同本地植物斑块大小梯度（混播、0.0625 m²、0.25 m²和1 m²斑块），模拟不同空间异质性条件，探究植物空间结构对杂草入侵抗性的调控作用。实验连续两年监测本地植物和入侵植物地上生物量，并同步测定土壤理化性质，包括土壤有机碳（SOC）、铵态氮（NH₄⁺-N）、硝态氮（NO₃⁻-N）、有效磷（AP）、pH及土壤磷组分等指标。   本数据集包含2024—2025年人工草地物种空间配置与杂草入侵控制试验获得的植物群落和土壤理化性质数据。主要观测指标包括本地植物地上生物量、入侵植物地上生物量、群落总地上生物量，以及土壤有机碳（SOC）、硝态氮（NO₃⁻-N）、铵态氮（NH₄⁺-N）和有效磷（AP）等。数据涵盖4种本地植物空间配置和3种杂草入侵处理，可用于分析植物空间配置和杂草入侵对人工草地生产力、入侵抗性及土壤养分特征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江苏省南京市溧水区白马农场试验基地（32°32′56.0″N，118°12′39.0″E）的人工草地长期试验平台。该平台建立于2016年，2024年在原有物种空间配置试验基础上开展杂草入侵试验。试验采用随机区组设计，每个试验小区面积为4 m × 4 m。本地植物群落由白三叶（Trifolium repens）、紫花苜蓿（Medicago sativa）、紫羊茅（Festuca rubra）和鸭茅（Dactylis glomerata）4种多年生牧草组成。   设置4种本地植物空间配置，包括完全混播（Mixed）、0.0625 m²小斑块（SP）、0.25 m²中斑块（MP）和1.0 m²大斑块（LP），并设置无目标入侵植物对照（Control）、一年生飞燕草（Consolida ajacis）入侵和多年生双穗雀稗（Paspalum distichum）入侵3种处理。入侵处理每种空间配置设置3个重复，对照处理每种空间配置设置4个重复，共40个独立试验小区。目标入侵植物于2024和2025年分别播入相应处理小区，播种密度为100粒·m⁻²。   植物地上生物量分别于2024年7月下旬和2025年7月下旬群落生物量高峰期采集。植物于距地表3 cm处刈割，70 ℃烘干48 h至恒重后称量，并分别记录本地植物和目标入侵植物地上生物量。土壤样品采集深度为0–15 cm，每个试验小区随机设置4个取样点，取样位置距小区边缘至少1 m，将4个土芯混合形成1个代表该小区的复合土壤样品。土壤无机氮采用2 mol·L⁻¹ KCl提取并使用Auto Analyzer 3 High Resolution连续流动分析仪测定，有效磷采用Olsen法提取测定，土壤有机碳采用重铬酸钾氧化-外加热法（Walkley-Black法）测定。</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数据经过整理、质量检查和标准化处理后形成数据集。数据分析过程中进行了异常值检查、变量整理和统计分析，包括线性混合效应模型、主成分分析（PCA）以及相关分析等方法。原始观测数据按照“观测年份—入侵处理—本地植物空间配置—区组—试验小区”的层级进行整编，并对不同年份的数据字段名称、变量缩写、计量单位和数据格式进行统一和标准化。</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人工草地田间控制实验，采用随机区组设计设置不同物种空间配置和杂草入侵处理，并设置独立重复。实验以完整样地作为独立实验单元，避免伪重复。植物和土壤样品均按照统一时间、采样方法和实验室分析流程进行采集与测定，植物生物量烘干至恒重后称量，土壤样品采用多点混合采样。实验开始前对土壤背景性质进行调查，各处理间初始土壤性质无显著差异。数据经完整性和异常值检查，同时检验模型基本假设。整体数据质量稳定，具有较好的完整性、一致性和可靠性，可满足后续统计分析和科学研究需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2024/07/25-2025/07/25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中国江苏省南京市溧水区白马农场人工草地实验基地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人工草地, 植物斑块结构, 生物抗性, 杂草入侵, 土壤养分循环, 生态恢复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江苏省,  南京市,  溧水区,  白马农场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118.21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32.55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Erola Fenollosa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任海彦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任海彦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Erola Fenollosa. 人工草地植物斑块结构对杂草入侵抗性的影响及土壤生态机制数据集（2024-2025年）. 国家冰川冻土沙漠科学数据中心(http://www.ncdc.ac.cn), 2026. https://cstr.cn/CSTR:11738.11.ncdc.db7774.2026.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