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干旱区盐渍化研究站（民勤）气象要素与能量平衡日值数据集 （2012–2025年）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dataset of meteorological elements and energy balance from the Drylands Salinization Research Station (Minqin) (2012–2025)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10.12072/ncdc.minqin-salin-stn.db7062.2026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11738.11.NCDC.MINQIN-SALIN-STN.DB7062.2026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  本数据集依托中国科学院西北生态环境资源研究院干旱区盐渍化研究站（Drylands Salinization Research Station），选取石羊河下游民勤盆地典型的盐渍化撂荒地下垫面（103.6120°E, 39.0440°N，海拔1262米），采用符合世界气象组织（WMO）标准的高精度自动气象观测系统，系统收集了2012年7月1日至2025年12月31日的日尺度观测数据。数据内容涵盖气温、相对湿度（均/最值）、风速风向、气压及降水等常规气象要素，并特异性集成了净辐射、土壤热通量、光合有效辐射和红外地表温度等地表能量平衡关键参数。该数据集通过长序列的微气象与能量平衡观测，真实揭示了荒漠-绿洲过渡带盐渍化生境的水热交换特征，可为干旱区陆面过程参数化、遥感反演算法验证及生态系统演变研究提供高质量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  本数据集为中国科学院西北生态环境资源研究院野外台站实测数据，依托以 Campbell Scientific CR3000 为核心的自动气象站系统采集。所有仪器均严格按照国家野外台站规范定期维护与标定。需特别说明的是，台站于 2019年4月 进行了关键传感器升级：空气温湿度由 HMP45C 升级为 Vaisala HMP155A；风速风向由 Met One 机械式升级为 Gill WindSonic 60 超声波式；辐射观测由 CNR2 升级为 Kipp &amp; Zonen CNR4。其余要素长期保持稳定观测，包括 Apogee SI-411（红外地表温）、Hukseflux HFP01（土壤热通量）、Kipp &amp; Zonen PQS 1（光合有效辐射）、Inc.Campbell TE525（降水）及 Vaisala PTB110（气压）。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  本数据集对原始 30min 观测数据主要执行了质量控制与日值聚合。首先，基于物理阈值剔除异常值（如 RH &gt; 100%、夜间短波辐射 &gt; 5 W/m²）；对于仪器故障导致的数据缺失，统一标记为 NA 且不做插补，以严格保留观测数据的原始属性。随后进行指标聚合：降水采用日累加计算；气温、气压、风速、地表温度及能量平衡要素（净辐射、土壤热通量、PAR）采用日算术平均计算；同时筛选气温与相对湿度的日极值（Max/Min）。最终按时间序列整合并规范表头，输出为标准 .xlsx 格式。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  本数据集具有极高的可靠性与精确度。在源头控制方面，依托 Vaisala、Kipp &amp; Zonen 等国际主流高精度传感器，并严格执行国家野外台站的定期标定与维护规范，确保了观测数据的准确性。在数据加工方面，实施了“极值剔除—逻辑检查—人工复核”的三级质量控制（QC）流程，重点剔除了超量程异常值及夜间短波辐射虚值，并严格核查了土壤水热数据的垂直梯度逻辑。在数据真实性方面，严格保留原始观测特征，对因仪器故障导致的数据缺失统一标记为 NA，未做人为插补。此外，特别提示用户注意 2019年4月 的设备升级（风速及辐射传感器更新）可能带来前后数据的系统性差异，进行长序列趋势分析时建议予以考量。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甘肃省民勤县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1262.0m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气象观测, 地表能量平衡, 土壤水热, 盐渍化撂荒地, 微气象, 干旱区, 陆面过程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民勤县,  石羊河流域,  河西走廊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干旱区盐渍化数据资源体系收集整编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尤全刚. 干旱区盐渍化研究站（民勤）气象要素与能量平衡日值数据集 （2012–2025年）. 国家冰川冻土沙漠科学数据中心(http://www.ncdc.ac.cn), 2026. https://cstr.cn/CSTR:11738.11.NCDC.MINQIN-SALIN-STN.DB7062.2026.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