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Material balance equilibrium equilibrium line data for glacier No. 1, Urumqiheyuan, 1958-1995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10.12072/Tianshan.017.2017.db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Tianshan one glacier is a double branch ice bucket valley glacier, 2.2 kilometers long, the average width of 500 meters, an area of 1.828 square kilometers, the maximum thickness of 140 meters, the highest point of 4476 meters above sea level, the average annual rate of movement of about 5 meters, the end of the tongue of the ice at an altitude of 3734 meters, the average snow line height of 4055 meters, toward the northeast, the mainstream was “S “ type. Glacier material balance throughout the year for the line of zero. Above this line, the annual accumulation of the glacier is greater than the annual ablation, and below this line, the annual ablation of the glacier is greater than the annual accumulation. The level of glacier material balance refers to the average of the total accumulation and total ablation of glaciers, which reflects the role of glaciers in the total water balance and characterizes the dynamics of glacier changes. This data set is the material balance equilibrium line data of Urumqi Heyuan No.1 glacier from 1958 to 1995.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 Observations, tests, measurements.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not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time:1958/01/01-1995/12/31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place:Heyuan Observatory No. 1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Theme:Balance Line, Ablation, Glacier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Time:1958 1959 1960 1961 1962 1963 1964 1965 1966 1967 1968 1969 1970 1971 1972 1973 1974 1975 1976 1977 1978 1979 1980 1981 1982 1983 1984 1985 1986 1987 1988 1989 1990 1991 1992 1993 1994 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TianShanStation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 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Material balance equilibrium equilibrium line data for glacier No. 1, Urumqiheyuan, 1958-1995. National Cryosphere Desert Data Center(http://www.ncdc.ac.cn), 2020. https://cstr.cn/CSTR:11738.11.ncdc.Tianshan.2020.80.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