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黄河流域TCI、VCI、VHI、TVDI逐年1 km分辨率数据集（2003-2022年）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Temperature Condition Index (TCI), Vegetation Condition Index (VCI), Vegetation Health Index (VHI), and Temperature Vegetation Dryness Index (TVDI) Annual 1 km Resolution Dataset for the Yellow River Basin (2003-2022)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10.57760/sciencedb.09116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https://cstr.cn/31253.11.sciencedb.09116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流域大部分属于干旱、半干旱气候，先天水资源条件不足，是中国各大流域中受干旱影响最为严重的流域。随着全球环境和气候变化，黄河流域的干旱愈加频繁，对黄河流域的干旱监测研究已经成为当下的热点。本数据集基于MODIS植被和地表温度产品，通过对逐年数据进行去云、重构等质量控制，分别生产了2003–2022年黄河流域逐年的温度条件指数（Temperature Condition Index，TCI）、植被状态指数（Vegetation Condition Index，VCI）、植被健康指数（Vegetation Health Index，VHI）、温度植被干旱指数（Temperature Vegetation Dryness Index，TVDI）数据集。本数据集空间范围为32°10′N–41°50′N，95°53′E–119°05′E，数据格式为GeoTiff，空间分辨率为1 km。同其他干旱指数数据集相比。   本数据集可以在逐年时间尺度上表现黄河流域的干旱格局，在时间序列上反映黄河流域干旱变化趋势，为黄河流域干旱灾害监测提供基础数据支撑。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干旱指数数据集包含4个压缩文件，分别为TCI_YellowRiverBasin.zip、VCI_YellowRiverBasin.zip、VHI_YellowRiverBasin.zip、TVDI_YellowRiverBasin.zip。压缩文件内包含四种干旱指数2002-2023逐年黄河流域数据，格式为.tif图像文件，tif文件命名格式为：干旱指数.YYYY.1_km_year.tif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  利用Google Earth Engine（GEE）获取MODIS产品的NVDI和LST数据，按照时间跨度和区域范围进行筛选、裁剪获得2003–2022年间黄河流域数据。使用MODIS产品的质量控制波段（QC bands）对数据进行质量控制，如去云等，获得初步数据。同时，采用最大值合成法对年内的NDVI数据进行最大值合成。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  数据产品的质量与NDVI和LST产品的质量有关，本研究中主要通过控制所使用的NVDI与LST数据产品的质量来保证所生产数据产品的质量。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 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植被状态指数, 温度条件指数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夏浩铭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沙寅涛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刘戈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赵晓阳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靳宁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夏浩铭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夏浩铭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夏浩铭. 黄河流域TCI、VCI、VHI、TVDI逐年1 km分辨率数据集（2003-2022年）. 国家冰川冻土沙漠科学数据中心(http://www.ncdc.ac.cn), 2023. https://cstr.cn/CSTR:https://cstr.cn/31253.11.sciencedb.09116.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