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2001-2012年黑河流域1km分辨率地表反照率数据集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1km resolution surface albedo dataset of Heihe River Basin from 2001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10.12072/ncdc.nieer.db3049.2023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在GLASS全球产品中选取了覆盖黑河流域的两个tile（h25v04，h25v05）。数据集包括了Albers和UTM两种投影方式，均为raw格式，时间范围为2001年-2012年，空间范围是黑河流域的矢量边界的外界矩形，时间分辨率为8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利用MODIS的1km地表反射率（MOD/MYD09GA）数据产品，经过角度网格回归（Angular Bin）反演算法和基于统计知识的时空滤波（Statistics-based Temporal Filter）算法两道工序生产了全球GLASS（Global LAnd Surface Satellite）反照率产品。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经过镶嵌、投影转换和裁切后获得的黑河流域的1km分辨率陆表黑空反照率（black-sky albedo）和白空反照率（white-sky albedo）数据集。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包括了Albers和UTM两种投影方式，均为raw格式，空间范围是黑河流域的矢量边界的外界矩形，时间分辨率为8天。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2001/01/01-2012/02/01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img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反照率, 地表能量平衡, 辐射参数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刘强. 2001-2012年黑河流域1km分辨率地表反照率数据集. 国家冰川冻土沙漠科学数据中心(http://www.ncdc.ac.cn), 2021. https://cstr.cn/CSTR:11738.11.ncdc.NIEER.2021.1699.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