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沙米有机酸代谢数据（2020年）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organic acid metabolism in sago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10.12072/ncdc.ZDYF.db1677.2022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11738.11.ncdc.ZDYF.db1677.2022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  沙米样品55℃烘箱干燥24小时，粉碎，精确称量0.05 g粉末置2.0 mL Eppendorf管中，加入1.5 mL甲醇，称重，过夜。40℃下超声提取30 min（SB-800 DTD超声仪，宁波新芝生物科技股份有限公司；功率：100 W；频率：40 kHz）；放冷，加入甲醇补充至初始重量。将混合物于12000×g离心10 min，经0.22 μm过滤器（PALL, MI, USA）过滤，取上清液作为供试品溶液，进行UPLC-QQQ-MS分析。在配备ACQUITY UPLC BEH C18色谱柱（100 mm×2.1 mm，1.8 μm）的色谱分离采用ACQUITY UPLCTM I-Class系统（Waters，Milford，USA）。色谱柱为ACQUITY UPLC BEH C18色谱柱（100 mm×2.1 mm，1.8 μm），流动相为0.1%甲酸水溶液（A）和0.1%甲酸乙腈溶液（B）；洗脱梯度：0 min，5%B；1 min，5%B；3.5 min，30%B；5.5 min，60%B. 流速0.50 mL·min−1，柱温40℃，进样量1.0 μL.质谱分析采用AB Sciex API 6500三重四极杆质谱仪（Applied Biosystems，Toronto，Canada）。电喷雾离子源（ESI），负离子模式；定量分析采用多反应监测模式（MRM），离子源温度550℃，喷雾电压-4500V。各分析成分的保留时间（tR）、定量离子对、去簇电压（declustering potential, DP）、碰撞能量（collision energy, CE）和出口电压（cell exit potential, CXP）值。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  沙米样品55℃烘箱干燥24小时，粉碎，精确称量0.05 g粉末置2.0 mL Eppendorf管中，加入1.5 mL甲醇，称重，过夜。40℃下超声提取30 min（SB-800 DTD超声仪，宁波新芝生物科技股份有限公司；功率：100 W；频率：40 kHz）；放冷，加入甲醇补充至初始重量。将混合物于12000×g离心10 min，经0.22 μm过滤器（PALL, MI, USA）过滤，取上清液作为供试品溶液，进行UPLC-QQQ-MS分析。在配备ACQUITY UPLC BEH C18色谱柱（100 mm×2.1 mm，1.8 μm）的色谱分离采用ACQUITY UPLCTM I-Class系统（Waters，Milford，USA）。色谱柱为ACQUITY UPLC BEH C18色谱柱（100 mm×2.1 mm，1.8 μm），流动相为0.1%甲酸水溶液（A）和0.1%甲酸乙腈溶液（B）；洗脱梯度：0 min，5%B；1 min，5%B；3.5 min，30%B；5.5 min，60%B. 流速0.50 mL·min−1，柱温40℃，进样量1.0 μL.质谱分析采用AB Sciex API 6500三重四极杆质谱仪（Applied Biosystems，Toronto，Canada）。电喷雾离子源（ESI），负离子模式；定量分析采用多反应监测模式（MRM），离子源温度550℃，喷雾电压-4500V。各分析成分的保留时间（tR）、定量离子对、去簇电压（declustering potential, DP）、碰撞能量（collision energy, CE）和出口电压（cell exit potential, CXP）值。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  实验室沙米样品干燥、粉碎、称重、过夜、超声提取等一系列处理后；进行UPLC-QQQ-MS分析、质谱分析、定量分析。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北方半干旱区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沙米, 色谱柱, 三重四极杆质谱仪, 半干旱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北方半干旱区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马小飞,  尹晓月,  钱朝菊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马小飞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中国北方半干旱荒漠区沙漠化防治关键技术与示范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马小飞,尹晓月,钱朝菊. 沙米有机酸代谢数据（2020年）. 国家冰川冻土沙漠科学数据中心(http://www.ncdc.ac.cn), 2022. https://cstr.cn/CSTR:11738.11.ncdc.ZDYF.db1677.2022.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