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电位差驱动缺陷碳纳米管电子转移对有机微污染物的选择性氧化数据集（2018年12月）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Selective oxidation dataset of organic micro pollutants by potential difference driven defect carbon nanotube electron transfer (December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10.12072/ncdc.UTCMW.db2155.2022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11738.11.ncdc.UTCMW.db2155.2022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纳米碳基过硫酸盐氧化技术是一种很有前景的有机微污染物去除技术。然而，活性位点的性质及其工作机制仍然难以捉摸，这阻碍了高性能氧化技术在水处理实践中的发展。在这里，我们报道了缺陷丰富的碳纳米管(CNTs)在过氧单硫酸盐(PMS)氧化OMPs时表现出优越的活性。定量的构效关系研究和理论计算揭示了碳纳米管上的双空位缺陷可能是碳纳米管的本征活性位点，它作为一个导电桥，促进了位差主导的电子从OMPs的最高占据分子轨道(HOMO)向最低未占据分子轨道的转移PMS分子轨道(LUMO)。基于这一独特的机理，所建立的CNTs@PMS氧化体系在复杂的水环境中具有突出的选择性，实现了特定OMPs的靶向消除。本研究揭示了碳催化选择性氧化的机理，为实际废水的修复提供了一种创新技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  室内实验、仪器表征，自主产生。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  采用XRD、XPS、Raman系统软件模块进行表征。采用Nova Nano SEM450对样品的微观形貌进行了表征。FEI Tabs F200X分别在120和80 kV的加速电压下获得透射电子显微镜(TEM)图像。高分辨率图像由像差校正TEM获得。BET表面积测量是在Micromeritics公司的Tristar II仪器上进行的。广角XRD谱图由Bruker D8 ADVANCE-ray衍射仪获得。采用Horiba Jobin-Yvon LabRAM HR800微共焦拉曼光谱仪在532.14 nm处进行Raman光谱分析。x射线光电子能谱测量使用AXIS Ultra DLD x射线光电子能谱仪进行Al Kα x射线(hν = 1486.6 eV)辐射。ESR谱(力量A200光谱仪、德国)被用来研究活性自由基的生成在室温下下列条件:微波功率= 18.7 mW,微波频率= 9.766 GHz,中心字段= 3480 G,调制宽度= 0.1吨,调制频率= 100 kHz和扫描数量= 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2018/12/01-2018/12/31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江西省南昌市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缺陷态碳纳米管, 过硫酸盐, 碳催化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江西省南昌市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杨利明. 电位差驱动缺陷碳纳米管电子转移对有机微污染物的选择性氧化数据集（2018年12月）. 国家冰川冻土沙漠科学数据中心(http://www.ncdc.ac.cn), 2022. https://cstr.cn/CSTR:11738.11.ncdc.UTCMW.db2155.2022.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