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Selective oxidation dataset of organic micro pollutants by potential difference driven defect carbon nanotube electron transfer (December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10.12072/ncdc.UTCMW.db2155.2022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11738.11.ncdc.UTCMW.db2155.2022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Nano carbon based persulfate oxidation technology is a promising technique for removing organic micro pollutants. However, the properties and working mechanisms of active sites are still elusive, which hinders the development of high-performance oxidation technology in water treatment practice. Here, we report that defect rich carbon nanotubes (CNTs) exhibit superior activity in the oxidation of OMPs by peroxymonosulfate (PMS). Quantitative structure-activity relationship studies and theoretical calculations have revealed that double vacancy defects on carbon nanotubes may be the intrinsic active sites of carbon nanotubes. As a conductive bridge, it promotes the transfer of electrons dominated by potential differences from the highest occupied molecular orbital (HOMO) of OMPs to the lowest unoccupied molecular orbital (LUMO) of PMS molecules. Based on this unique mechanism, the CNTs@PMS The oxidation system exhibits outstanding selectivity in complex water environments, achieving targeted elimination of specific OMPs. This study reveals the mechanism of carbon catalyzed selective oxidation, providing an innovative technology for the remediation of actual wastewater.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Indoor experiments, instrument characterization, independently generated.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Characterization was performed using XRD, XPS, and Raman system software modules. The microstructure of the sample was characterized using Nova Nano SEM450. FEI Tabs F200X obtained transmission electron microscopy (TEM) images at acceleration voltages of 120 and 80 kV, respectively. High resolution images are obtained by aberration corrected TEM. The BET surface area measurement was performed on Micromeritics' Tristar II instrument. The wide-angle XRD spectrum was obtained using a Bruker D8 ADVANCE ray diffractometer. Raman spectroscopy analysis was performed at 532.14 nm using Horiba Jobin Yvon LabRAM HR800 micro confocal Raman spectrometer. X-ray photoelectron spectroscopy measurement was performed using AXIS Ultra DLD X-ray photoelectron spectrometer for Al K α X-ray (h ν=1486.6 eV) radiation. The ESR spectrum (Power A200 Spectrometer, Germany) was used to study the generation of active free radicals at room temperature under the following conditions: microwave power=18.7 mW, microwave frequency=9.766 GHz, central field=3480 G, modulation width=0.1 ton, modulation frequency=100 kHz, and scanning number=3.</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time:2018/12/01-2018/12/31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place:Nanchang City, Jiangxi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size:769.8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Theme:Defective carbon nanotubes, persulfate, carbon catalysis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Place:Nanchang City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29.17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116.53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28.12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contributors:Yang Liming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author:Yang Liming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Yang Liming. Selective oxidation dataset of organic micro pollutants by potential difference driven defect carbon nanotube electron transfer (December 2018). National Cryosphere Desert Data Center(http://www.ncdc.ac.cn), 2022. https://cstr.cn/CSTR:11738.11.ncdc.UTCMW.db2155.2022.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