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Magnetic separation beaker experiment to explore the optimal effluent conditions of acid mine water data set (April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10.12072/ncdc.UTCMW.db2125.2022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11738.11.ncdc.UTCMW.db2125.2022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determination of suspended solids adopts the gravimetric method for the determination of suspended solids in water quality (GB 11901); The turbidity is measured by wzs-186 turbidity meter. Before turbidity measurement, it is necessary to calibrate with standard solution. After calibration, it is necessary to zero with distilled water. After zero adjustment, put the solution to be measured into the turbidity bottle for measurement and data reading. Simulate the actual mine water with laboratory water distribution, and explore the optimal experimental conditions through magnetic separation beaker test, so as to guide the subsequent experiments of magnetic separation device. The optimized experimental factors include pulverized coal particle size ratio, PAC dosage, PAM dosage, PAM type, magnetic particle dosage, magnetic particle type, magnetic particle size, SS initial concentration, pH value, stirring time, stirring intensity, reagent dosing sequence, etc. The data set contains a total of 220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 Place the prepared 1L simulated wastewater at different positions of the six unit mixer, add different types and doses of coagulant, coagulant aid and magnetic powder, stir quickly at 160 R / min for 5 min and slowly at 80 R / min for 3 min. after the reaction is complete, take the supernatant, measure its turbidity and calculate the removal rate, and select the best coagulant, coagulant aid and magnetic powder and the best dosage, Further change the initial concentration of SS, pH, stirring intensity, stirring time and other influencing factors to determine the optimal hydraulic conditions for magnetic separation treatment of simulated high turbidity mine water wastewater.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time:2021/04/01-2021/04/30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Theme:Mine water, magnetic separation, beaker test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Magnetic separation beaker experiment to explore the optimal effluent conditions of acid mine water data set (April 2021). National Cryosphere Desert Data Center(http://www.ncdc.ac.cn), 2022. https://cstr.cn/CSTR:11738.11.ncdc.UTCMW.db2125.2022.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