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2013-2017年河龙区间多沙粗沙国家级重点治理区林草植被覆盖度图数据集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vegetation coverage map of forest and grass in national key control area of heavy and coarse sand in Helong section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龙区间多沙粗沙国家级重点治理区土地利用图数据集包括内蒙古自治区准格尔旗、伊金霍洛旗、东胜区，陕西省神木县、宝塔区等区域2013年、2014年、2015年、2016年和2017年的林草植被覆盖度，基于空间分辨率为2米的卫星遥感影像加工获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数据源为资源三号和高分一号卫星影像，主要由水利部信息中心提供。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河龙区间多沙粗沙国家级重点治理区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中高低覆盖度，林草植被覆盖度, 多沙粗沙, 裸地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  准格尔旗,  神木县,  伊金霍洛旗,  东胜区,  宝塔区,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2013-2017年河龙区间多沙粗沙国家级重点治理区林草植被覆盖度图数据集. 国家冰川冻土沙漠科学数据中心(http://www.ncdc.ac.cn), 2021. https://cstr.cn/CSTR:11738.11.ncdc.HHSTBC.2020.163.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