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1912-2000年（部分年份）中亚五国水文站（径流量）分布图（1:500万）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hydrological stations (runoff) in five Central Asian countries from 1912 to 2000 (partial years) (1:5 million)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五国（哈萨克斯坦、塔吉克斯坦、乌兹别克斯坦、吉尔吉斯斯坦和土库曼斯坦）的mapinfo专题地图（比例尺：1:500万），其中包括流量属性表、网格、国家名称、首都、首都名称、重要城市居民点、主要河名、中河名、境外河名、湖泊名、一级行政区名、图名图例、湖泊、主要河流、中河流、境外河流、小河流、国界、一级行政区界、一级区界线、国界区共计21个图层，各属性图层数据可叠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在原有数据基础上进行流量属性点的提取。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本数据在获取处理各阶段均有专业人员负责，不改变数据属性信息，数据质量良好。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1912/01/01-2000/12/31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属性表、网格、国家名称、首都、首都名称、重要城市居民点、主要河名、中河名、境外河名、湖泊名、一级行政区名、图名图例，湖泊，主要河流，中河流，境外河流，小河流，国界，一级行政区界，一级区界线，国界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1912-2000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1912-2000年（部分年份）中亚五国水文站（径流量）分布图（1:500万）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2020. https://cstr.cn/CSTR:11738.11.ncdc.nieer.2020.1348.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